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D81B" w14:textId="77777777" w:rsidR="00110200" w:rsidRPr="00A52B0D" w:rsidRDefault="00110200" w:rsidP="00110200">
      <w:pPr>
        <w:spacing w:after="0" w:line="240" w:lineRule="auto"/>
        <w:jc w:val="center"/>
        <w:rPr>
          <w:rFonts w:ascii="Garamond" w:hAnsi="Garamond"/>
          <w:sz w:val="24"/>
          <w:szCs w:val="24"/>
        </w:rPr>
      </w:pPr>
      <w:r w:rsidRPr="00A52B0D">
        <w:rPr>
          <w:rFonts w:ascii="Garamond" w:hAnsi="Garamond"/>
          <w:sz w:val="24"/>
          <w:szCs w:val="24"/>
        </w:rPr>
        <w:t>RELAZIONE DEL CONSIGLIO DIRETTIVO</w:t>
      </w:r>
    </w:p>
    <w:p w14:paraId="2F3A40E0" w14:textId="60739477" w:rsidR="00110200" w:rsidRPr="00A52B0D" w:rsidRDefault="00110200" w:rsidP="00110200">
      <w:pPr>
        <w:spacing w:after="0" w:line="240" w:lineRule="auto"/>
        <w:jc w:val="center"/>
        <w:rPr>
          <w:rFonts w:ascii="Garamond" w:hAnsi="Garamond"/>
          <w:sz w:val="24"/>
          <w:szCs w:val="24"/>
        </w:rPr>
      </w:pPr>
      <w:r w:rsidRPr="00A52B0D">
        <w:rPr>
          <w:rFonts w:ascii="Garamond" w:hAnsi="Garamond"/>
          <w:sz w:val="24"/>
          <w:szCs w:val="24"/>
        </w:rPr>
        <w:t>RENDICONTO ECONOMICO E</w:t>
      </w:r>
      <w:r w:rsidR="00A84BC1" w:rsidRPr="00A52B0D">
        <w:rPr>
          <w:rFonts w:ascii="Garamond" w:hAnsi="Garamond"/>
          <w:sz w:val="24"/>
          <w:szCs w:val="24"/>
        </w:rPr>
        <w:t xml:space="preserve"> FINANZIARIO DELL’ESERCIZIO 20</w:t>
      </w:r>
      <w:r w:rsidR="00520F4F">
        <w:rPr>
          <w:rFonts w:ascii="Garamond" w:hAnsi="Garamond"/>
          <w:sz w:val="24"/>
          <w:szCs w:val="24"/>
        </w:rPr>
        <w:t>20</w:t>
      </w:r>
    </w:p>
    <w:p w14:paraId="68D7ACA3" w14:textId="77777777" w:rsidR="00F96814" w:rsidRPr="00A52B0D" w:rsidRDefault="00F96814" w:rsidP="00110200">
      <w:pPr>
        <w:spacing w:after="0" w:line="240" w:lineRule="auto"/>
        <w:jc w:val="center"/>
        <w:rPr>
          <w:rFonts w:ascii="Garamond" w:hAnsi="Garamond"/>
          <w:sz w:val="24"/>
          <w:szCs w:val="24"/>
        </w:rPr>
      </w:pPr>
    </w:p>
    <w:p w14:paraId="3506CC32" w14:textId="77777777" w:rsidR="00F96814" w:rsidRPr="00A52B0D" w:rsidRDefault="00F96814" w:rsidP="00110200">
      <w:pPr>
        <w:spacing w:after="0" w:line="240" w:lineRule="auto"/>
        <w:jc w:val="center"/>
        <w:rPr>
          <w:rFonts w:ascii="Garamond" w:hAnsi="Garamond"/>
          <w:sz w:val="24"/>
          <w:szCs w:val="24"/>
        </w:rPr>
      </w:pPr>
      <w:r w:rsidRPr="00A52B0D">
        <w:rPr>
          <w:rFonts w:ascii="Garamond" w:hAnsi="Garamond"/>
          <w:sz w:val="24"/>
          <w:szCs w:val="24"/>
        </w:rPr>
        <w:t>Sottoposta all’approvazione dell’Assemblea dei soci</w:t>
      </w:r>
    </w:p>
    <w:p w14:paraId="60D471FA" w14:textId="729D82E5" w:rsidR="00F96814" w:rsidRPr="00A52B0D" w:rsidRDefault="00F96814" w:rsidP="00110200">
      <w:pPr>
        <w:spacing w:after="0" w:line="240" w:lineRule="auto"/>
        <w:jc w:val="center"/>
        <w:rPr>
          <w:rFonts w:ascii="Garamond" w:hAnsi="Garamond"/>
          <w:sz w:val="24"/>
          <w:szCs w:val="24"/>
        </w:rPr>
      </w:pPr>
      <w:r w:rsidRPr="00A52B0D">
        <w:rPr>
          <w:rFonts w:ascii="Garamond" w:hAnsi="Garamond"/>
          <w:sz w:val="24"/>
          <w:szCs w:val="24"/>
        </w:rPr>
        <w:t xml:space="preserve">in data 24 </w:t>
      </w:r>
      <w:r w:rsidR="00770568" w:rsidRPr="00A52B0D">
        <w:rPr>
          <w:rFonts w:ascii="Garamond" w:hAnsi="Garamond"/>
          <w:sz w:val="24"/>
          <w:szCs w:val="24"/>
        </w:rPr>
        <w:t>aprile</w:t>
      </w:r>
      <w:r w:rsidRPr="00A52B0D">
        <w:rPr>
          <w:rFonts w:ascii="Garamond" w:hAnsi="Garamond"/>
          <w:sz w:val="24"/>
          <w:szCs w:val="24"/>
        </w:rPr>
        <w:t xml:space="preserve"> 2020</w:t>
      </w:r>
    </w:p>
    <w:p w14:paraId="51257F87" w14:textId="77777777" w:rsidR="00110200" w:rsidRPr="00A52B0D" w:rsidRDefault="00110200" w:rsidP="00110200">
      <w:pPr>
        <w:pStyle w:val="SOTTOTITOLO"/>
        <w:rPr>
          <w:rFonts w:ascii="Garamond" w:hAnsi="Garamond"/>
          <w:lang w:val="it-IT"/>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9778"/>
      </w:tblGrid>
      <w:tr w:rsidR="00110200" w:rsidRPr="00A52B0D" w14:paraId="04BAD226" w14:textId="77777777" w:rsidTr="006135AF">
        <w:trPr>
          <w:trHeight w:val="120"/>
        </w:trPr>
        <w:tc>
          <w:tcPr>
            <w:tcW w:w="9778" w:type="dxa"/>
            <w:shd w:val="clear" w:color="auto" w:fill="D3DFEE"/>
          </w:tcPr>
          <w:p w14:paraId="269A339D" w14:textId="06E9202F" w:rsidR="00110200" w:rsidRPr="00A52B0D" w:rsidRDefault="00110200" w:rsidP="006135AF">
            <w:pPr>
              <w:spacing w:after="0" w:line="240" w:lineRule="auto"/>
              <w:jc w:val="both"/>
              <w:rPr>
                <w:rFonts w:ascii="Garamond" w:hAnsi="Garamond"/>
                <w:b/>
                <w:bCs/>
                <w:sz w:val="24"/>
                <w:szCs w:val="24"/>
              </w:rPr>
            </w:pPr>
            <w:r w:rsidRPr="00A52B0D">
              <w:rPr>
                <w:rFonts w:ascii="Garamond" w:hAnsi="Garamond"/>
                <w:b/>
                <w:bCs/>
                <w:sz w:val="24"/>
                <w:szCs w:val="24"/>
              </w:rPr>
              <w:t>Informazioni generali dell</w:t>
            </w:r>
            <w:r w:rsidR="0079296B">
              <w:rPr>
                <w:rFonts w:ascii="Garamond" w:hAnsi="Garamond"/>
                <w:sz w:val="24"/>
                <w:szCs w:val="24"/>
              </w:rPr>
              <w:t>’</w:t>
            </w:r>
            <w:r w:rsidRPr="00A52B0D">
              <w:rPr>
                <w:rFonts w:ascii="Garamond" w:hAnsi="Garamond"/>
                <w:b/>
                <w:bCs/>
                <w:sz w:val="24"/>
                <w:szCs w:val="24"/>
              </w:rPr>
              <w:t xml:space="preserve">ente                                                                                                                       </w:t>
            </w:r>
          </w:p>
        </w:tc>
      </w:tr>
    </w:tbl>
    <w:p w14:paraId="0E1CB38E" w14:textId="77777777" w:rsidR="00110200" w:rsidRPr="00A52B0D" w:rsidRDefault="00110200" w:rsidP="00110200">
      <w:pPr>
        <w:jc w:val="both"/>
        <w:rPr>
          <w:rFonts w:ascii="Garamond" w:hAnsi="Garamond" w:cstheme="minorHAnsi"/>
          <w:sz w:val="24"/>
          <w:szCs w:val="24"/>
        </w:rPr>
      </w:pPr>
    </w:p>
    <w:p w14:paraId="7E210774" w14:textId="5C936A8A" w:rsidR="00110200" w:rsidRPr="00A52B0D" w:rsidRDefault="00110200" w:rsidP="006135AF">
      <w:pPr>
        <w:spacing w:after="0" w:line="240" w:lineRule="auto"/>
        <w:ind w:firstLine="709"/>
        <w:jc w:val="both"/>
        <w:rPr>
          <w:rFonts w:ascii="Garamond" w:hAnsi="Garamond" w:cstheme="minorHAnsi"/>
          <w:sz w:val="24"/>
          <w:szCs w:val="24"/>
        </w:rPr>
      </w:pPr>
      <w:r w:rsidRPr="00A52B0D">
        <w:rPr>
          <w:rFonts w:ascii="Garamond" w:hAnsi="Garamond" w:cstheme="minorHAnsi"/>
          <w:sz w:val="24"/>
          <w:szCs w:val="24"/>
        </w:rPr>
        <w:t>L’</w:t>
      </w:r>
      <w:r w:rsidR="006135AF" w:rsidRPr="00A52B0D">
        <w:rPr>
          <w:rFonts w:ascii="Garamond" w:hAnsi="Garamond" w:cstheme="minorHAnsi"/>
          <w:sz w:val="24"/>
          <w:szCs w:val="24"/>
        </w:rPr>
        <w:t xml:space="preserve">associazione Centro Studi Santa Rosa da Viterbo </w:t>
      </w:r>
      <w:r w:rsidRPr="00A52B0D">
        <w:rPr>
          <w:rFonts w:ascii="Garamond" w:hAnsi="Garamond" w:cstheme="minorHAnsi"/>
          <w:sz w:val="24"/>
          <w:szCs w:val="24"/>
        </w:rPr>
        <w:t>per volere d</w:t>
      </w:r>
      <w:r w:rsidR="006135AF" w:rsidRPr="00A52B0D">
        <w:rPr>
          <w:rFonts w:ascii="Garamond" w:hAnsi="Garamond" w:cstheme="minorHAnsi"/>
          <w:sz w:val="24"/>
          <w:szCs w:val="24"/>
        </w:rPr>
        <w:t>egli associati fondatori è stata costituita</w:t>
      </w:r>
      <w:r w:rsidRPr="00A52B0D">
        <w:rPr>
          <w:rFonts w:ascii="Garamond" w:hAnsi="Garamond" w:cstheme="minorHAnsi"/>
          <w:sz w:val="24"/>
          <w:szCs w:val="24"/>
        </w:rPr>
        <w:t xml:space="preserve"> nel 2010 mediante scrittura privata registrata presso l</w:t>
      </w:r>
      <w:r w:rsidR="0047478A" w:rsidRPr="00A52B0D">
        <w:rPr>
          <w:rFonts w:ascii="Garamond" w:hAnsi="Garamond" w:cstheme="minorHAnsi"/>
          <w:sz w:val="24"/>
          <w:szCs w:val="24"/>
        </w:rPr>
        <w:t>’Agenzia delle Entrate. Al 31/12</w:t>
      </w:r>
      <w:r w:rsidRPr="00A52B0D">
        <w:rPr>
          <w:rFonts w:ascii="Garamond" w:hAnsi="Garamond" w:cstheme="minorHAnsi"/>
          <w:sz w:val="24"/>
          <w:szCs w:val="24"/>
        </w:rPr>
        <w:t>/20</w:t>
      </w:r>
      <w:r w:rsidR="00770568" w:rsidRPr="00A52B0D">
        <w:rPr>
          <w:rFonts w:ascii="Garamond" w:hAnsi="Garamond" w:cstheme="minorHAnsi"/>
          <w:sz w:val="24"/>
          <w:szCs w:val="24"/>
        </w:rPr>
        <w:t>20</w:t>
      </w:r>
      <w:r w:rsidR="00D05A7B" w:rsidRPr="00A52B0D">
        <w:rPr>
          <w:rFonts w:ascii="Garamond" w:hAnsi="Garamond" w:cstheme="minorHAnsi"/>
          <w:sz w:val="24"/>
          <w:szCs w:val="24"/>
        </w:rPr>
        <w:t xml:space="preserve"> il libro soci annovera </w:t>
      </w:r>
      <w:r w:rsidR="009B146D" w:rsidRPr="00A52B0D">
        <w:rPr>
          <w:rFonts w:ascii="Garamond" w:hAnsi="Garamond" w:cstheme="minorHAnsi"/>
          <w:sz w:val="24"/>
          <w:szCs w:val="24"/>
        </w:rPr>
        <w:t xml:space="preserve">n. </w:t>
      </w:r>
      <w:r w:rsidR="00621B19" w:rsidRPr="00A52B0D">
        <w:rPr>
          <w:rFonts w:ascii="Garamond" w:hAnsi="Garamond" w:cstheme="minorHAnsi"/>
          <w:sz w:val="24"/>
          <w:szCs w:val="24"/>
        </w:rPr>
        <w:t>4</w:t>
      </w:r>
      <w:r w:rsidR="00770568" w:rsidRPr="00A52B0D">
        <w:rPr>
          <w:rFonts w:ascii="Garamond" w:hAnsi="Garamond" w:cstheme="minorHAnsi"/>
          <w:sz w:val="24"/>
          <w:szCs w:val="24"/>
        </w:rPr>
        <w:t>9</w:t>
      </w:r>
      <w:r w:rsidRPr="00A52B0D">
        <w:rPr>
          <w:rFonts w:ascii="Garamond" w:hAnsi="Garamond" w:cstheme="minorHAnsi"/>
          <w:sz w:val="24"/>
          <w:szCs w:val="24"/>
        </w:rPr>
        <w:t xml:space="preserve"> associati che partecipano attivamente alla vita dell’Ente.</w:t>
      </w:r>
    </w:p>
    <w:p w14:paraId="5427E82C" w14:textId="77777777" w:rsidR="00110200" w:rsidRPr="00A52B0D" w:rsidRDefault="00110200" w:rsidP="006135AF">
      <w:pPr>
        <w:spacing w:after="0" w:line="240" w:lineRule="auto"/>
        <w:ind w:firstLine="709"/>
        <w:jc w:val="both"/>
        <w:rPr>
          <w:rFonts w:ascii="Garamond" w:hAnsi="Garamond" w:cstheme="minorHAnsi"/>
          <w:sz w:val="24"/>
          <w:szCs w:val="24"/>
        </w:rPr>
      </w:pPr>
      <w:r w:rsidRPr="00A52B0D">
        <w:rPr>
          <w:rFonts w:ascii="Garamond" w:hAnsi="Garamond" w:cstheme="minorHAnsi"/>
          <w:sz w:val="24"/>
          <w:szCs w:val="24"/>
        </w:rPr>
        <w:t>L’Associazione non ha scopo di lucro e persegue finalità civiche, solidaristiche di utilità sociale, educative e culturali in misura preminente.</w:t>
      </w:r>
    </w:p>
    <w:p w14:paraId="1A02C3B7" w14:textId="77777777" w:rsidR="00110200" w:rsidRPr="00A52B0D" w:rsidRDefault="00110200" w:rsidP="006135AF">
      <w:pPr>
        <w:spacing w:after="0" w:line="240" w:lineRule="auto"/>
        <w:ind w:firstLine="709"/>
        <w:jc w:val="both"/>
        <w:rPr>
          <w:rFonts w:ascii="Garamond" w:hAnsi="Garamond" w:cstheme="minorHAnsi"/>
          <w:sz w:val="24"/>
          <w:szCs w:val="24"/>
        </w:rPr>
      </w:pPr>
      <w:r w:rsidRPr="00A52B0D">
        <w:rPr>
          <w:rFonts w:ascii="Garamond" w:hAnsi="Garamond" w:cstheme="minorHAnsi"/>
          <w:sz w:val="24"/>
          <w:szCs w:val="24"/>
        </w:rPr>
        <w:t>L’assenza di lucro e le finalità filantropiche, prescritte dal D. Lgs 4/12/1997 n.460, hanno consentito all’Ente di essere iscritto nei registri pubblici tra le “Organizzazioni Non Lucrative di Utilità Sociale” ONLUS. Questo consente all’Associazione di beneficiare di alcune agevolazioni fiscali, mentre  coloro che sovvenzionano il Cent</w:t>
      </w:r>
      <w:r w:rsidR="00F96814" w:rsidRPr="00A52B0D">
        <w:rPr>
          <w:rFonts w:ascii="Garamond" w:hAnsi="Garamond" w:cstheme="minorHAnsi"/>
          <w:sz w:val="24"/>
          <w:szCs w:val="24"/>
        </w:rPr>
        <w:t>ro Studi possono portare</w:t>
      </w:r>
      <w:r w:rsidRPr="00A52B0D">
        <w:rPr>
          <w:rFonts w:ascii="Garamond" w:hAnsi="Garamond" w:cstheme="minorHAnsi"/>
          <w:sz w:val="24"/>
          <w:szCs w:val="24"/>
        </w:rPr>
        <w:t xml:space="preserve"> in detrazione dal reddito parte dei proventi erogati.</w:t>
      </w:r>
    </w:p>
    <w:p w14:paraId="771B1440" w14:textId="77777777" w:rsidR="00110200" w:rsidRPr="00A52B0D" w:rsidRDefault="00110200" w:rsidP="006135AF">
      <w:pPr>
        <w:spacing w:after="0" w:line="240" w:lineRule="auto"/>
        <w:ind w:firstLine="709"/>
        <w:jc w:val="both"/>
        <w:rPr>
          <w:rFonts w:ascii="Garamond" w:hAnsi="Garamond" w:cstheme="minorHAnsi"/>
          <w:sz w:val="24"/>
          <w:szCs w:val="24"/>
        </w:rPr>
      </w:pPr>
      <w:r w:rsidRPr="00A52B0D">
        <w:rPr>
          <w:rFonts w:ascii="Garamond" w:hAnsi="Garamond" w:cstheme="minorHAnsi"/>
          <w:sz w:val="24"/>
          <w:szCs w:val="24"/>
        </w:rPr>
        <w:t xml:space="preserve">L’Associazione non è titolare </w:t>
      </w:r>
      <w:r w:rsidR="007D2F7D" w:rsidRPr="00A52B0D">
        <w:rPr>
          <w:rFonts w:ascii="Garamond" w:hAnsi="Garamond" w:cstheme="minorHAnsi"/>
          <w:sz w:val="24"/>
          <w:szCs w:val="24"/>
        </w:rPr>
        <w:t xml:space="preserve">di alcun bene immobile e bene mobile registrato </w:t>
      </w:r>
      <w:r w:rsidRPr="00A52B0D">
        <w:rPr>
          <w:rFonts w:ascii="Garamond" w:hAnsi="Garamond" w:cstheme="minorHAnsi"/>
          <w:sz w:val="24"/>
          <w:szCs w:val="24"/>
        </w:rPr>
        <w:t xml:space="preserve">e </w:t>
      </w:r>
      <w:r w:rsidR="007D2F7D" w:rsidRPr="00A52B0D">
        <w:rPr>
          <w:rFonts w:ascii="Garamond" w:hAnsi="Garamond" w:cstheme="minorHAnsi"/>
          <w:sz w:val="24"/>
          <w:szCs w:val="24"/>
        </w:rPr>
        <w:t>nemmeno ne ha la disponibilità</w:t>
      </w:r>
      <w:r w:rsidRPr="00A52B0D">
        <w:rPr>
          <w:rFonts w:ascii="Garamond" w:hAnsi="Garamond" w:cstheme="minorHAnsi"/>
          <w:sz w:val="24"/>
          <w:szCs w:val="24"/>
        </w:rPr>
        <w:t>. Nel suo patrimonio figurano solo beni mobili fungibili.</w:t>
      </w:r>
    </w:p>
    <w:p w14:paraId="64E4D41B" w14:textId="32ADDAF9" w:rsidR="00110200" w:rsidRPr="00A52B0D" w:rsidRDefault="00110200" w:rsidP="006135AF">
      <w:pPr>
        <w:spacing w:after="0" w:line="240" w:lineRule="auto"/>
        <w:ind w:firstLine="709"/>
        <w:jc w:val="both"/>
        <w:rPr>
          <w:rFonts w:ascii="Garamond" w:hAnsi="Garamond" w:cstheme="minorHAnsi"/>
          <w:sz w:val="24"/>
          <w:szCs w:val="24"/>
        </w:rPr>
      </w:pPr>
      <w:r w:rsidRPr="00A52B0D">
        <w:rPr>
          <w:rFonts w:ascii="Garamond" w:hAnsi="Garamond" w:cstheme="minorHAnsi"/>
          <w:sz w:val="24"/>
          <w:szCs w:val="24"/>
        </w:rPr>
        <w:t xml:space="preserve">Il Centro studi in </w:t>
      </w:r>
      <w:r w:rsidR="00D05A7B" w:rsidRPr="00A52B0D">
        <w:rPr>
          <w:rFonts w:ascii="Garamond" w:hAnsi="Garamond" w:cstheme="minorHAnsi"/>
          <w:sz w:val="24"/>
          <w:szCs w:val="24"/>
        </w:rPr>
        <w:t>quasi due</w:t>
      </w:r>
      <w:r w:rsidRPr="00A52B0D">
        <w:rPr>
          <w:rFonts w:ascii="Garamond" w:hAnsi="Garamond" w:cstheme="minorHAnsi"/>
          <w:sz w:val="24"/>
          <w:szCs w:val="24"/>
        </w:rPr>
        <w:t xml:space="preserve"> lustri ha intessuto rapporti di collaborazione con le istituzioni </w:t>
      </w:r>
      <w:r w:rsidR="007D2F7D" w:rsidRPr="00A52B0D">
        <w:rPr>
          <w:rFonts w:ascii="Garamond" w:hAnsi="Garamond" w:cstheme="minorHAnsi"/>
          <w:sz w:val="24"/>
          <w:szCs w:val="24"/>
        </w:rPr>
        <w:t xml:space="preserve">locali, </w:t>
      </w:r>
      <w:r w:rsidR="00D05A7B" w:rsidRPr="00A52B0D">
        <w:rPr>
          <w:rFonts w:ascii="Garamond" w:hAnsi="Garamond" w:cstheme="minorHAnsi"/>
          <w:sz w:val="24"/>
          <w:szCs w:val="24"/>
        </w:rPr>
        <w:t>in particolare il C</w:t>
      </w:r>
      <w:r w:rsidRPr="00A52B0D">
        <w:rPr>
          <w:rFonts w:ascii="Garamond" w:hAnsi="Garamond" w:cstheme="minorHAnsi"/>
          <w:sz w:val="24"/>
          <w:szCs w:val="24"/>
        </w:rPr>
        <w:t xml:space="preserve">omune </w:t>
      </w:r>
      <w:r w:rsidR="007D2F7D" w:rsidRPr="00A52B0D">
        <w:rPr>
          <w:rFonts w:ascii="Garamond" w:hAnsi="Garamond" w:cstheme="minorHAnsi"/>
          <w:sz w:val="24"/>
          <w:szCs w:val="24"/>
        </w:rPr>
        <w:t>di Viterbo</w:t>
      </w:r>
      <w:r w:rsidRPr="00A52B0D">
        <w:rPr>
          <w:rFonts w:ascii="Garamond" w:hAnsi="Garamond" w:cstheme="minorHAnsi"/>
          <w:sz w:val="24"/>
          <w:szCs w:val="24"/>
        </w:rPr>
        <w:t>, l’Amministrazione Provinciale, La Fondazione</w:t>
      </w:r>
      <w:r w:rsidR="00520F4F">
        <w:rPr>
          <w:rFonts w:ascii="Garamond" w:hAnsi="Garamond" w:cstheme="minorHAnsi"/>
          <w:sz w:val="24"/>
          <w:szCs w:val="24"/>
        </w:rPr>
        <w:t xml:space="preserve"> </w:t>
      </w:r>
      <w:r w:rsidRPr="00A52B0D">
        <w:rPr>
          <w:rFonts w:ascii="Garamond" w:hAnsi="Garamond" w:cstheme="minorHAnsi"/>
          <w:sz w:val="24"/>
          <w:szCs w:val="24"/>
        </w:rPr>
        <w:t>CARIVIT e l’Università della Tuscia. Oltre a ricevere contributi dagli enti pubblici e privati, l’Associazione gestisce al meglio le provvidenze dell’Erario sotto forma di contributi 5×1000, collegati alla fiscalità delle persone fisiche che decidono di destinare al Centro Studi una quota delle imposte Irpef che versano. Tale sistema non risulta oneroso per chi propone la donazione che viene effettuata dal fisco con parte  dei proventi riscossi  a titolo di imposte dirette.</w:t>
      </w:r>
    </w:p>
    <w:p w14:paraId="39AA0F90" w14:textId="6C0E0EDA" w:rsidR="00E53580" w:rsidRDefault="007D2F7D" w:rsidP="006135AF">
      <w:pPr>
        <w:spacing w:after="0" w:line="240" w:lineRule="auto"/>
        <w:ind w:firstLine="709"/>
        <w:jc w:val="both"/>
        <w:rPr>
          <w:rFonts w:ascii="Garamond" w:hAnsi="Garamond" w:cstheme="minorHAnsi"/>
          <w:sz w:val="24"/>
          <w:szCs w:val="24"/>
        </w:rPr>
      </w:pPr>
      <w:r w:rsidRPr="00A52B0D">
        <w:rPr>
          <w:rFonts w:ascii="Garamond" w:hAnsi="Garamond" w:cstheme="minorHAnsi"/>
          <w:sz w:val="24"/>
          <w:szCs w:val="24"/>
        </w:rPr>
        <w:t xml:space="preserve">Al Centro studi è stata affidata, mediante convenzione, la tutela e </w:t>
      </w:r>
      <w:r w:rsidR="00E53580" w:rsidRPr="00A52B0D">
        <w:rPr>
          <w:rFonts w:ascii="Garamond" w:hAnsi="Garamond" w:cstheme="minorHAnsi"/>
          <w:sz w:val="24"/>
          <w:szCs w:val="24"/>
        </w:rPr>
        <w:t>valorizzazione dell</w:t>
      </w:r>
      <w:r w:rsidR="005946E3" w:rsidRPr="00A52B0D">
        <w:rPr>
          <w:rFonts w:ascii="Garamond" w:hAnsi="Garamond" w:cstheme="minorHAnsi"/>
          <w:sz w:val="24"/>
          <w:szCs w:val="24"/>
        </w:rPr>
        <w:t>’</w:t>
      </w:r>
      <w:r w:rsidR="00E53580" w:rsidRPr="00A52B0D">
        <w:rPr>
          <w:rFonts w:ascii="Garamond" w:hAnsi="Garamond" w:cstheme="minorHAnsi"/>
          <w:sz w:val="24"/>
          <w:szCs w:val="24"/>
        </w:rPr>
        <w:t>Archivio Generale della Federazione Santa Chiara d</w:t>
      </w:r>
      <w:r w:rsidR="00520F4F">
        <w:rPr>
          <w:rFonts w:ascii="Garamond" w:hAnsi="Garamond"/>
          <w:sz w:val="24"/>
          <w:szCs w:val="24"/>
        </w:rPr>
        <w:t>’</w:t>
      </w:r>
      <w:r w:rsidR="00E53580" w:rsidRPr="00A52B0D">
        <w:rPr>
          <w:rFonts w:ascii="Garamond" w:hAnsi="Garamond" w:cstheme="minorHAnsi"/>
          <w:sz w:val="24"/>
          <w:szCs w:val="24"/>
        </w:rPr>
        <w:t>Assisi de</w:t>
      </w:r>
      <w:r w:rsidRPr="00A52B0D">
        <w:rPr>
          <w:rFonts w:ascii="Garamond" w:hAnsi="Garamond" w:cstheme="minorHAnsi"/>
          <w:sz w:val="24"/>
          <w:szCs w:val="24"/>
        </w:rPr>
        <w:t xml:space="preserve">lle Clarisse </w:t>
      </w:r>
      <w:r w:rsidR="00520F4F">
        <w:rPr>
          <w:rFonts w:ascii="Garamond" w:hAnsi="Garamond" w:cstheme="minorHAnsi"/>
          <w:sz w:val="24"/>
          <w:szCs w:val="24"/>
        </w:rPr>
        <w:t>U</w:t>
      </w:r>
      <w:r w:rsidRPr="00A52B0D">
        <w:rPr>
          <w:rFonts w:ascii="Garamond" w:hAnsi="Garamond" w:cstheme="minorHAnsi"/>
          <w:sz w:val="24"/>
          <w:szCs w:val="24"/>
        </w:rPr>
        <w:t>rbaniste d</w:t>
      </w:r>
      <w:r w:rsidR="005946E3" w:rsidRPr="00A52B0D">
        <w:rPr>
          <w:rFonts w:ascii="Garamond" w:hAnsi="Garamond" w:cstheme="minorHAnsi"/>
          <w:sz w:val="24"/>
          <w:szCs w:val="24"/>
        </w:rPr>
        <w:t>’</w:t>
      </w:r>
      <w:r w:rsidRPr="00A52B0D">
        <w:rPr>
          <w:rFonts w:ascii="Garamond" w:hAnsi="Garamond" w:cstheme="minorHAnsi"/>
          <w:sz w:val="24"/>
          <w:szCs w:val="24"/>
        </w:rPr>
        <w:t>Italia. Tale affidamento,</w:t>
      </w:r>
      <w:r w:rsidR="00E53580" w:rsidRPr="00A52B0D">
        <w:rPr>
          <w:rFonts w:ascii="Garamond" w:hAnsi="Garamond" w:cstheme="minorHAnsi"/>
          <w:sz w:val="24"/>
          <w:szCs w:val="24"/>
        </w:rPr>
        <w:t xml:space="preserve"> insieme al riconoscimento della personalità giuridica, ha permesso al Centro Studi Santa Rosa di poter accedere anche al 5×1000 del MIBACT</w:t>
      </w:r>
      <w:r w:rsidRPr="00A52B0D">
        <w:rPr>
          <w:rFonts w:ascii="Garamond" w:hAnsi="Garamond" w:cstheme="minorHAnsi"/>
          <w:sz w:val="24"/>
          <w:szCs w:val="24"/>
        </w:rPr>
        <w:t xml:space="preserve"> e ai finanziamenti CEI dell’8×1000</w:t>
      </w:r>
      <w:r w:rsidR="00E53580" w:rsidRPr="00A52B0D">
        <w:rPr>
          <w:rFonts w:ascii="Garamond" w:hAnsi="Garamond" w:cstheme="minorHAnsi"/>
          <w:sz w:val="24"/>
          <w:szCs w:val="24"/>
        </w:rPr>
        <w:t>.</w:t>
      </w:r>
    </w:p>
    <w:p w14:paraId="125414F1" w14:textId="30164361" w:rsidR="0013321E" w:rsidRDefault="0013321E" w:rsidP="006135AF">
      <w:pPr>
        <w:spacing w:after="0" w:line="240" w:lineRule="auto"/>
        <w:ind w:firstLine="709"/>
        <w:jc w:val="both"/>
        <w:rPr>
          <w:rFonts w:ascii="Garamond" w:hAnsi="Garamond" w:cstheme="minorHAnsi"/>
          <w:sz w:val="24"/>
          <w:szCs w:val="24"/>
        </w:rPr>
      </w:pPr>
      <w:r>
        <w:rPr>
          <w:rFonts w:ascii="Garamond" w:hAnsi="Garamond" w:cstheme="minorHAnsi"/>
          <w:sz w:val="24"/>
          <w:szCs w:val="24"/>
        </w:rPr>
        <w:t>Nell</w:t>
      </w:r>
      <w:r w:rsidR="00520F4F">
        <w:rPr>
          <w:rFonts w:ascii="Garamond" w:hAnsi="Garamond"/>
          <w:sz w:val="24"/>
          <w:szCs w:val="24"/>
        </w:rPr>
        <w:t>’</w:t>
      </w:r>
      <w:r>
        <w:rPr>
          <w:rFonts w:ascii="Garamond" w:hAnsi="Garamond" w:cstheme="minorHAnsi"/>
          <w:sz w:val="24"/>
          <w:szCs w:val="24"/>
        </w:rPr>
        <w:t>anno 2020 il Centro Studi è stato promotore e capofila dell</w:t>
      </w:r>
      <w:r w:rsidR="00520F4F">
        <w:rPr>
          <w:rFonts w:ascii="Garamond" w:hAnsi="Garamond"/>
          <w:sz w:val="24"/>
          <w:szCs w:val="24"/>
        </w:rPr>
        <w:t>’</w:t>
      </w:r>
      <w:r>
        <w:rPr>
          <w:rFonts w:ascii="Garamond" w:hAnsi="Garamond" w:cstheme="minorHAnsi"/>
          <w:sz w:val="24"/>
          <w:szCs w:val="24"/>
        </w:rPr>
        <w:t>istituzione della Scuola di Paleografia e Storia</w:t>
      </w:r>
      <w:r w:rsidR="005B0DFD">
        <w:rPr>
          <w:rFonts w:ascii="Garamond" w:hAnsi="Garamond" w:cstheme="minorHAnsi"/>
          <w:sz w:val="24"/>
          <w:szCs w:val="24"/>
        </w:rPr>
        <w:t xml:space="preserve"> (</w:t>
      </w:r>
      <w:proofErr w:type="spellStart"/>
      <w:r w:rsidR="005B0DFD">
        <w:rPr>
          <w:rFonts w:ascii="Garamond" w:hAnsi="Garamond" w:cstheme="minorHAnsi"/>
          <w:sz w:val="24"/>
          <w:szCs w:val="24"/>
        </w:rPr>
        <w:t>SPeS</w:t>
      </w:r>
      <w:proofErr w:type="spellEnd"/>
      <w:r w:rsidR="005B0DFD">
        <w:rPr>
          <w:rFonts w:ascii="Garamond" w:hAnsi="Garamond" w:cstheme="minorHAnsi"/>
          <w:sz w:val="24"/>
          <w:szCs w:val="24"/>
        </w:rPr>
        <w:t>), cui hanno aderito i seguenti enti Centro Studi Frate Elia, Centro Europeo Ricerche Medievali, Centro Studi San Giacomo della Marca, Università della Tuscia, Università Federico II di Napoli, Università di Chieti, Università di Macerata, Università di Bari.</w:t>
      </w:r>
    </w:p>
    <w:p w14:paraId="3C3F181E" w14:textId="68779A33" w:rsidR="005B0DFD" w:rsidRPr="00A52B0D" w:rsidRDefault="005B0DFD" w:rsidP="006135AF">
      <w:pPr>
        <w:spacing w:after="0" w:line="240" w:lineRule="auto"/>
        <w:ind w:firstLine="709"/>
        <w:jc w:val="both"/>
        <w:rPr>
          <w:rFonts w:ascii="Garamond" w:hAnsi="Garamond" w:cstheme="minorHAnsi"/>
          <w:sz w:val="24"/>
          <w:szCs w:val="24"/>
        </w:rPr>
      </w:pPr>
      <w:r>
        <w:rPr>
          <w:rFonts w:ascii="Garamond" w:hAnsi="Garamond" w:cstheme="minorHAnsi"/>
          <w:sz w:val="24"/>
          <w:szCs w:val="24"/>
        </w:rPr>
        <w:t>Il Centro ha inoltre stipulato convenzioni per l</w:t>
      </w:r>
      <w:r w:rsidR="00520F4F">
        <w:rPr>
          <w:rFonts w:ascii="Garamond" w:hAnsi="Garamond"/>
          <w:sz w:val="24"/>
          <w:szCs w:val="24"/>
        </w:rPr>
        <w:t>’</w:t>
      </w:r>
      <w:r>
        <w:rPr>
          <w:rFonts w:ascii="Garamond" w:hAnsi="Garamond" w:cstheme="minorHAnsi"/>
          <w:sz w:val="24"/>
          <w:szCs w:val="24"/>
        </w:rPr>
        <w:t>anno 2020 con le università di Chieti, Napoli e Viterbo, nonché con l</w:t>
      </w:r>
      <w:r w:rsidR="00520F4F">
        <w:rPr>
          <w:rFonts w:ascii="Garamond" w:hAnsi="Garamond"/>
          <w:sz w:val="24"/>
          <w:szCs w:val="24"/>
        </w:rPr>
        <w:t>’</w:t>
      </w:r>
      <w:r>
        <w:rPr>
          <w:rFonts w:ascii="Garamond" w:hAnsi="Garamond" w:cstheme="minorHAnsi"/>
          <w:sz w:val="24"/>
          <w:szCs w:val="24"/>
        </w:rPr>
        <w:t xml:space="preserve">Archivio di Stato di Viterbo ed </w:t>
      </w:r>
      <w:r w:rsidR="00520F4F">
        <w:rPr>
          <w:rFonts w:ascii="Garamond" w:hAnsi="Garamond" w:cstheme="minorHAnsi"/>
          <w:sz w:val="24"/>
          <w:szCs w:val="24"/>
        </w:rPr>
        <w:t>è in procinto</w:t>
      </w:r>
      <w:r>
        <w:rPr>
          <w:rFonts w:ascii="Garamond" w:hAnsi="Garamond" w:cstheme="minorHAnsi"/>
          <w:sz w:val="24"/>
          <w:szCs w:val="24"/>
        </w:rPr>
        <w:t xml:space="preserve"> di stipulare convenzioni con l</w:t>
      </w:r>
      <w:r w:rsidR="00520F4F">
        <w:rPr>
          <w:rFonts w:ascii="Garamond" w:hAnsi="Garamond"/>
          <w:sz w:val="24"/>
          <w:szCs w:val="24"/>
        </w:rPr>
        <w:t>’</w:t>
      </w:r>
      <w:r w:rsidR="00037899">
        <w:rPr>
          <w:rFonts w:ascii="Garamond" w:hAnsi="Garamond" w:cstheme="minorHAnsi"/>
          <w:sz w:val="24"/>
          <w:szCs w:val="24"/>
        </w:rPr>
        <w:t>Università di Bari e di Macerata e con la Biblioteca degli Ardenti.</w:t>
      </w:r>
    </w:p>
    <w:p w14:paraId="4C23D58A" w14:textId="77777777" w:rsidR="00110200" w:rsidRPr="00A52B0D" w:rsidRDefault="00110200" w:rsidP="00110200">
      <w:pPr>
        <w:spacing w:after="0" w:line="240" w:lineRule="auto"/>
        <w:ind w:firstLine="283"/>
        <w:jc w:val="both"/>
        <w:rPr>
          <w:rFonts w:ascii="Garamond" w:hAnsi="Garamond"/>
          <w:sz w:val="24"/>
          <w:szCs w:val="24"/>
        </w:rPr>
      </w:pPr>
    </w:p>
    <w:p w14:paraId="15C3DAE3" w14:textId="77777777" w:rsidR="00110200" w:rsidRPr="00A52B0D" w:rsidRDefault="00110200" w:rsidP="00110200">
      <w:pPr>
        <w:spacing w:after="0" w:line="240" w:lineRule="auto"/>
        <w:ind w:firstLine="283"/>
        <w:jc w:val="both"/>
        <w:rPr>
          <w:rFonts w:ascii="Garamond" w:hAnsi="Garamond"/>
          <w:sz w:val="24"/>
          <w:szCs w:val="24"/>
        </w:rPr>
      </w:pPr>
      <w:r w:rsidRPr="00A52B0D">
        <w:rPr>
          <w:rFonts w:ascii="Garamond" w:hAnsi="Garamond"/>
          <w:sz w:val="24"/>
          <w:szCs w:val="24"/>
        </w:rPr>
        <w:t xml:space="preserve"> </w:t>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9778"/>
      </w:tblGrid>
      <w:tr w:rsidR="00110200" w:rsidRPr="00A52B0D" w14:paraId="42B789EF" w14:textId="77777777" w:rsidTr="006135AF">
        <w:trPr>
          <w:trHeight w:val="120"/>
        </w:trPr>
        <w:tc>
          <w:tcPr>
            <w:tcW w:w="9778" w:type="dxa"/>
            <w:shd w:val="clear" w:color="auto" w:fill="D3DFEE"/>
          </w:tcPr>
          <w:p w14:paraId="15B10272" w14:textId="77777777" w:rsidR="00110200" w:rsidRPr="00A52B0D" w:rsidRDefault="00110200" w:rsidP="006135AF">
            <w:pPr>
              <w:spacing w:after="0" w:line="240" w:lineRule="auto"/>
              <w:jc w:val="both"/>
              <w:rPr>
                <w:rFonts w:ascii="Garamond" w:hAnsi="Garamond"/>
                <w:b/>
                <w:bCs/>
                <w:sz w:val="24"/>
                <w:szCs w:val="24"/>
              </w:rPr>
            </w:pPr>
            <w:r w:rsidRPr="00A52B0D">
              <w:rPr>
                <w:rFonts w:ascii="Garamond" w:hAnsi="Garamond"/>
                <w:b/>
                <w:bCs/>
                <w:sz w:val="24"/>
                <w:szCs w:val="24"/>
              </w:rPr>
              <w:t>Informazio</w:t>
            </w:r>
            <w:r w:rsidR="007D2F7D" w:rsidRPr="00A52B0D">
              <w:rPr>
                <w:rFonts w:ascii="Garamond" w:hAnsi="Garamond"/>
                <w:b/>
                <w:bCs/>
                <w:sz w:val="24"/>
                <w:szCs w:val="24"/>
              </w:rPr>
              <w:t>ni sulla RENDICONTAZIONE delle entrate e delle u</w:t>
            </w:r>
            <w:r w:rsidRPr="00A52B0D">
              <w:rPr>
                <w:rFonts w:ascii="Garamond" w:hAnsi="Garamond"/>
                <w:b/>
                <w:bCs/>
                <w:sz w:val="24"/>
                <w:szCs w:val="24"/>
              </w:rPr>
              <w:t xml:space="preserve">scite                                                                                                      </w:t>
            </w:r>
          </w:p>
        </w:tc>
      </w:tr>
    </w:tbl>
    <w:p w14:paraId="16336A59" w14:textId="77777777" w:rsidR="006135AF" w:rsidRPr="00A52B0D" w:rsidRDefault="006135AF" w:rsidP="00110200">
      <w:pPr>
        <w:spacing w:after="0" w:line="240" w:lineRule="auto"/>
        <w:ind w:firstLine="283"/>
        <w:jc w:val="both"/>
        <w:rPr>
          <w:rFonts w:ascii="Garamond" w:hAnsi="Garamond"/>
          <w:sz w:val="24"/>
          <w:szCs w:val="24"/>
        </w:rPr>
      </w:pPr>
    </w:p>
    <w:p w14:paraId="4D83879C" w14:textId="384D8051" w:rsidR="00110200" w:rsidRPr="00A52B0D" w:rsidRDefault="00110200" w:rsidP="006135AF">
      <w:pPr>
        <w:spacing w:after="0" w:line="240" w:lineRule="auto"/>
        <w:ind w:firstLine="709"/>
        <w:jc w:val="both"/>
        <w:rPr>
          <w:rFonts w:ascii="Garamond" w:hAnsi="Garamond"/>
          <w:sz w:val="24"/>
          <w:szCs w:val="24"/>
        </w:rPr>
      </w:pPr>
      <w:r w:rsidRPr="00A52B0D">
        <w:rPr>
          <w:rFonts w:ascii="Garamond" w:hAnsi="Garamond"/>
          <w:sz w:val="24"/>
          <w:szCs w:val="24"/>
        </w:rPr>
        <w:t>Le entrate e le uscite riportano i flussi monetari in entrata ed in uscita manifestatisi nel corso del periodo amministrativo</w:t>
      </w:r>
      <w:r w:rsidR="00E53580" w:rsidRPr="00A52B0D">
        <w:rPr>
          <w:rFonts w:ascii="Garamond" w:hAnsi="Garamond"/>
          <w:sz w:val="24"/>
          <w:szCs w:val="24"/>
        </w:rPr>
        <w:t xml:space="preserve"> (1/1/20</w:t>
      </w:r>
      <w:r w:rsidR="00770568" w:rsidRPr="00A52B0D">
        <w:rPr>
          <w:rFonts w:ascii="Garamond" w:hAnsi="Garamond"/>
          <w:sz w:val="24"/>
          <w:szCs w:val="24"/>
        </w:rPr>
        <w:t>20</w:t>
      </w:r>
      <w:r w:rsidR="00E53580" w:rsidRPr="00A52B0D">
        <w:rPr>
          <w:rFonts w:ascii="Garamond" w:hAnsi="Garamond"/>
          <w:sz w:val="24"/>
          <w:szCs w:val="24"/>
        </w:rPr>
        <w:t>-31/12/20</w:t>
      </w:r>
      <w:r w:rsidR="00770568" w:rsidRPr="00A52B0D">
        <w:rPr>
          <w:rFonts w:ascii="Garamond" w:hAnsi="Garamond"/>
          <w:sz w:val="24"/>
          <w:szCs w:val="24"/>
        </w:rPr>
        <w:t>20</w:t>
      </w:r>
      <w:r w:rsidR="00E53580" w:rsidRPr="00A52B0D">
        <w:rPr>
          <w:rFonts w:ascii="Garamond" w:hAnsi="Garamond"/>
          <w:sz w:val="24"/>
          <w:szCs w:val="24"/>
        </w:rPr>
        <w:t>).</w:t>
      </w:r>
    </w:p>
    <w:p w14:paraId="49F65D1D" w14:textId="77777777" w:rsidR="00110200" w:rsidRPr="00A52B0D" w:rsidRDefault="00110200" w:rsidP="006135AF">
      <w:pPr>
        <w:spacing w:after="0" w:line="240" w:lineRule="auto"/>
        <w:ind w:firstLine="709"/>
        <w:jc w:val="both"/>
        <w:rPr>
          <w:rFonts w:ascii="Garamond" w:hAnsi="Garamond"/>
          <w:sz w:val="24"/>
          <w:szCs w:val="24"/>
        </w:rPr>
      </w:pPr>
      <w:r w:rsidRPr="00A52B0D">
        <w:rPr>
          <w:rFonts w:ascii="Garamond" w:hAnsi="Garamond"/>
          <w:sz w:val="24"/>
          <w:szCs w:val="24"/>
        </w:rPr>
        <w:t>Il totale delle entrate meno il totale delle uscite for</w:t>
      </w:r>
      <w:r w:rsidR="006135AF" w:rsidRPr="00A52B0D">
        <w:rPr>
          <w:rFonts w:ascii="Garamond" w:hAnsi="Garamond"/>
          <w:sz w:val="24"/>
          <w:szCs w:val="24"/>
        </w:rPr>
        <w:t>nisce l</w:t>
      </w:r>
      <w:r w:rsidR="0047478A" w:rsidRPr="00A52B0D">
        <w:rPr>
          <w:rFonts w:ascii="Garamond" w:hAnsi="Garamond"/>
          <w:sz w:val="24"/>
          <w:szCs w:val="24"/>
        </w:rPr>
        <w:t>’</w:t>
      </w:r>
      <w:r w:rsidR="006135AF" w:rsidRPr="00A52B0D">
        <w:rPr>
          <w:rFonts w:ascii="Garamond" w:hAnsi="Garamond"/>
          <w:sz w:val="24"/>
          <w:szCs w:val="24"/>
        </w:rPr>
        <w:t xml:space="preserve">importo </w:t>
      </w:r>
      <w:r w:rsidRPr="00A52B0D">
        <w:rPr>
          <w:rFonts w:ascii="Garamond" w:hAnsi="Garamond"/>
          <w:sz w:val="24"/>
          <w:szCs w:val="24"/>
        </w:rPr>
        <w:t>dell’</w:t>
      </w:r>
      <w:r w:rsidR="0032043B" w:rsidRPr="00A52B0D">
        <w:rPr>
          <w:rFonts w:ascii="Garamond" w:hAnsi="Garamond"/>
          <w:sz w:val="24"/>
          <w:szCs w:val="24"/>
        </w:rPr>
        <w:t>avanzo/disavanz</w:t>
      </w:r>
      <w:r w:rsidR="00F926D7" w:rsidRPr="00A52B0D">
        <w:rPr>
          <w:rFonts w:ascii="Garamond" w:hAnsi="Garamond"/>
          <w:sz w:val="24"/>
          <w:szCs w:val="24"/>
        </w:rPr>
        <w:t xml:space="preserve">o dell’esercizio. Tale </w:t>
      </w:r>
      <w:r w:rsidR="00DC773B" w:rsidRPr="00A52B0D">
        <w:rPr>
          <w:rFonts w:ascii="Garamond" w:hAnsi="Garamond"/>
          <w:sz w:val="24"/>
          <w:szCs w:val="24"/>
        </w:rPr>
        <w:t xml:space="preserve">importo secondo l’art. 12 dello statuto deve essere </w:t>
      </w:r>
      <w:r w:rsidR="00F926D7" w:rsidRPr="00A52B0D">
        <w:rPr>
          <w:rFonts w:ascii="Garamond" w:hAnsi="Garamond"/>
          <w:sz w:val="24"/>
          <w:szCs w:val="24"/>
        </w:rPr>
        <w:t xml:space="preserve">totalmente </w:t>
      </w:r>
      <w:r w:rsidR="00DC773B" w:rsidRPr="00A52B0D">
        <w:rPr>
          <w:rFonts w:ascii="Garamond" w:hAnsi="Garamond"/>
          <w:sz w:val="24"/>
          <w:szCs w:val="24"/>
        </w:rPr>
        <w:t xml:space="preserve">reinvestito nell’oggetto sociale. </w:t>
      </w:r>
    </w:p>
    <w:p w14:paraId="0B5EFB87" w14:textId="77777777" w:rsidR="00DC773B" w:rsidRPr="00A52B0D" w:rsidRDefault="00DC773B" w:rsidP="00DC773B">
      <w:pPr>
        <w:spacing w:after="0" w:line="240" w:lineRule="auto"/>
        <w:ind w:firstLine="709"/>
        <w:jc w:val="both"/>
        <w:rPr>
          <w:rFonts w:ascii="Garamond" w:hAnsi="Garamond"/>
          <w:sz w:val="24"/>
          <w:szCs w:val="24"/>
        </w:rPr>
      </w:pPr>
      <w:r w:rsidRPr="00A52B0D">
        <w:rPr>
          <w:rFonts w:ascii="Garamond" w:hAnsi="Garamond"/>
          <w:sz w:val="24"/>
          <w:szCs w:val="24"/>
        </w:rPr>
        <w:t>Il totale delle entrate meno il totale delle uscite sommato algebricamente ai fondi liquidi iniziali fornisce l’importo dei fondi liquidi di fine anno. Tali fondi coincidono con le risultanze dei saldi dei conti accesi alle liquidità: cassa e conto corrente bancario.</w:t>
      </w:r>
    </w:p>
    <w:p w14:paraId="55E4234A" w14:textId="77777777" w:rsidR="00DC773B" w:rsidRPr="00A52B0D" w:rsidRDefault="00DC773B" w:rsidP="006135AF">
      <w:pPr>
        <w:spacing w:after="0" w:line="240" w:lineRule="auto"/>
        <w:ind w:firstLine="709"/>
        <w:jc w:val="both"/>
        <w:rPr>
          <w:rFonts w:ascii="Garamond" w:hAnsi="Garamond"/>
          <w:sz w:val="24"/>
          <w:szCs w:val="24"/>
        </w:rPr>
      </w:pPr>
    </w:p>
    <w:p w14:paraId="2C2A9F08" w14:textId="77777777" w:rsidR="00110200" w:rsidRPr="00A52B0D" w:rsidRDefault="00110200" w:rsidP="00110200">
      <w:pPr>
        <w:spacing w:after="0" w:line="240" w:lineRule="auto"/>
        <w:ind w:firstLine="283"/>
        <w:jc w:val="both"/>
        <w:rPr>
          <w:rFonts w:ascii="Garamond" w:hAnsi="Garamond"/>
          <w:sz w:val="24"/>
          <w:szCs w:val="24"/>
        </w:rPr>
      </w:pPr>
      <w:r w:rsidRPr="00A52B0D">
        <w:rPr>
          <w:rFonts w:ascii="Garamond" w:hAnsi="Garamond"/>
          <w:sz w:val="24"/>
          <w:szCs w:val="24"/>
        </w:rPr>
        <w:lastRenderedPageBreak/>
        <w:t xml:space="preserve"> </w:t>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9778"/>
      </w:tblGrid>
      <w:tr w:rsidR="00110200" w:rsidRPr="00A52B0D" w14:paraId="4944D6D0" w14:textId="77777777" w:rsidTr="006135AF">
        <w:trPr>
          <w:trHeight w:val="120"/>
        </w:trPr>
        <w:tc>
          <w:tcPr>
            <w:tcW w:w="9778" w:type="dxa"/>
            <w:shd w:val="clear" w:color="auto" w:fill="D3DFEE"/>
          </w:tcPr>
          <w:p w14:paraId="7A23C4E1" w14:textId="77777777" w:rsidR="00110200" w:rsidRPr="00A52B0D" w:rsidRDefault="00110200" w:rsidP="006135AF">
            <w:pPr>
              <w:spacing w:after="0" w:line="240" w:lineRule="auto"/>
              <w:jc w:val="both"/>
              <w:rPr>
                <w:rFonts w:ascii="Garamond" w:hAnsi="Garamond"/>
                <w:b/>
                <w:bCs/>
                <w:sz w:val="24"/>
                <w:szCs w:val="24"/>
              </w:rPr>
            </w:pPr>
            <w:r w:rsidRPr="00A52B0D">
              <w:rPr>
                <w:rFonts w:ascii="Garamond" w:hAnsi="Garamond"/>
                <w:b/>
                <w:bCs/>
                <w:sz w:val="24"/>
                <w:szCs w:val="24"/>
              </w:rPr>
              <w:t xml:space="preserve">Principi e criteri di redazione                                                                                                                       </w:t>
            </w:r>
          </w:p>
        </w:tc>
      </w:tr>
    </w:tbl>
    <w:p w14:paraId="70F1B2C4" w14:textId="77777777" w:rsidR="00110200" w:rsidRPr="00A52B0D" w:rsidRDefault="00110200" w:rsidP="00110200">
      <w:pPr>
        <w:spacing w:after="0" w:line="240" w:lineRule="auto"/>
        <w:ind w:firstLine="283"/>
        <w:jc w:val="both"/>
        <w:rPr>
          <w:rFonts w:ascii="Garamond" w:hAnsi="Garamond"/>
          <w:sz w:val="24"/>
          <w:szCs w:val="24"/>
        </w:rPr>
      </w:pPr>
    </w:p>
    <w:p w14:paraId="0363F4CE" w14:textId="2625CBDF" w:rsidR="00110200" w:rsidRPr="00A52B0D" w:rsidRDefault="0047478A" w:rsidP="006135AF">
      <w:pPr>
        <w:spacing w:after="0" w:line="240" w:lineRule="auto"/>
        <w:ind w:firstLine="709"/>
        <w:jc w:val="both"/>
        <w:rPr>
          <w:rFonts w:ascii="Garamond" w:hAnsi="Garamond"/>
          <w:sz w:val="24"/>
          <w:szCs w:val="24"/>
        </w:rPr>
      </w:pPr>
      <w:r w:rsidRPr="00A52B0D">
        <w:rPr>
          <w:rFonts w:ascii="Garamond" w:hAnsi="Garamond"/>
          <w:sz w:val="24"/>
          <w:szCs w:val="24"/>
        </w:rPr>
        <w:t>Il R</w:t>
      </w:r>
      <w:r w:rsidR="00110200" w:rsidRPr="00A52B0D">
        <w:rPr>
          <w:rFonts w:ascii="Garamond" w:hAnsi="Garamond"/>
          <w:sz w:val="24"/>
          <w:szCs w:val="24"/>
        </w:rPr>
        <w:t>endiconto chiuso e re</w:t>
      </w:r>
      <w:r w:rsidR="00A84BC1" w:rsidRPr="00A52B0D">
        <w:rPr>
          <w:rFonts w:ascii="Garamond" w:hAnsi="Garamond"/>
          <w:sz w:val="24"/>
          <w:szCs w:val="24"/>
        </w:rPr>
        <w:t>lativo al periodo dal 01/01/20</w:t>
      </w:r>
      <w:r w:rsidR="00770568" w:rsidRPr="00A52B0D">
        <w:rPr>
          <w:rFonts w:ascii="Garamond" w:hAnsi="Garamond"/>
          <w:sz w:val="24"/>
          <w:szCs w:val="24"/>
        </w:rPr>
        <w:t>20</w:t>
      </w:r>
      <w:r w:rsidR="00110200" w:rsidRPr="00A52B0D">
        <w:rPr>
          <w:rFonts w:ascii="Garamond" w:hAnsi="Garamond"/>
          <w:sz w:val="24"/>
          <w:szCs w:val="24"/>
        </w:rPr>
        <w:t xml:space="preserve"> al 31/</w:t>
      </w:r>
      <w:r w:rsidR="00D05A7B" w:rsidRPr="00A52B0D">
        <w:rPr>
          <w:rFonts w:ascii="Garamond" w:hAnsi="Garamond"/>
          <w:sz w:val="24"/>
          <w:szCs w:val="24"/>
        </w:rPr>
        <w:t>12</w:t>
      </w:r>
      <w:r w:rsidR="00A84BC1" w:rsidRPr="00A52B0D">
        <w:rPr>
          <w:rFonts w:ascii="Garamond" w:hAnsi="Garamond"/>
          <w:sz w:val="24"/>
          <w:szCs w:val="24"/>
        </w:rPr>
        <w:t>/20</w:t>
      </w:r>
      <w:r w:rsidR="00770568" w:rsidRPr="00A52B0D">
        <w:rPr>
          <w:rFonts w:ascii="Garamond" w:hAnsi="Garamond"/>
          <w:sz w:val="24"/>
          <w:szCs w:val="24"/>
        </w:rPr>
        <w:t>20</w:t>
      </w:r>
      <w:r w:rsidR="00110200" w:rsidRPr="00A52B0D">
        <w:rPr>
          <w:rFonts w:ascii="Garamond" w:hAnsi="Garamond"/>
          <w:sz w:val="24"/>
          <w:szCs w:val="24"/>
        </w:rPr>
        <w:t xml:space="preserve">, di cui la presente relazione costituisce parte integrante, corrisponde alle risultanze delle scritture contabili regolarmente tenute. </w:t>
      </w:r>
    </w:p>
    <w:p w14:paraId="2CB33005" w14:textId="77777777" w:rsidR="00110200" w:rsidRPr="00A52B0D" w:rsidRDefault="0047478A" w:rsidP="006135AF">
      <w:pPr>
        <w:spacing w:after="0" w:line="240" w:lineRule="auto"/>
        <w:ind w:firstLine="709"/>
        <w:jc w:val="both"/>
        <w:rPr>
          <w:rFonts w:ascii="Garamond" w:hAnsi="Garamond"/>
          <w:sz w:val="24"/>
          <w:szCs w:val="24"/>
        </w:rPr>
      </w:pPr>
      <w:r w:rsidRPr="00A52B0D">
        <w:rPr>
          <w:rFonts w:ascii="Garamond" w:hAnsi="Garamond"/>
          <w:sz w:val="24"/>
          <w:szCs w:val="24"/>
        </w:rPr>
        <w:t>Il R</w:t>
      </w:r>
      <w:r w:rsidR="00110200" w:rsidRPr="00A52B0D">
        <w:rPr>
          <w:rFonts w:ascii="Garamond" w:hAnsi="Garamond"/>
          <w:sz w:val="24"/>
          <w:szCs w:val="24"/>
        </w:rPr>
        <w:t xml:space="preserve">endiconto delle entrate e delle uscite è redatto secondo criteri di cassa. </w:t>
      </w:r>
    </w:p>
    <w:p w14:paraId="7145F798" w14:textId="77777777" w:rsidR="00110200" w:rsidRPr="00A52B0D" w:rsidRDefault="00110200" w:rsidP="006135AF">
      <w:pPr>
        <w:spacing w:after="0" w:line="240" w:lineRule="auto"/>
        <w:ind w:firstLine="709"/>
        <w:jc w:val="both"/>
        <w:rPr>
          <w:rFonts w:ascii="Garamond" w:hAnsi="Garamond"/>
          <w:sz w:val="24"/>
          <w:szCs w:val="24"/>
        </w:rPr>
      </w:pPr>
      <w:r w:rsidRPr="00A52B0D">
        <w:rPr>
          <w:rFonts w:ascii="Garamond" w:hAnsi="Garamond"/>
          <w:sz w:val="24"/>
          <w:szCs w:val="24"/>
        </w:rPr>
        <w:t xml:space="preserve">Sono adottati i medesimi criteri di valutazione e gli stessi principi contabili e di redazione del rendiconto dell’esercizio precedente. </w:t>
      </w:r>
    </w:p>
    <w:p w14:paraId="243882DF" w14:textId="77777777" w:rsidR="00110200" w:rsidRPr="00A52B0D" w:rsidRDefault="0047478A" w:rsidP="006135AF">
      <w:pPr>
        <w:spacing w:after="0" w:line="240" w:lineRule="auto"/>
        <w:ind w:firstLine="709"/>
        <w:jc w:val="both"/>
        <w:rPr>
          <w:rFonts w:ascii="Garamond" w:hAnsi="Garamond"/>
          <w:sz w:val="24"/>
          <w:szCs w:val="24"/>
        </w:rPr>
      </w:pPr>
      <w:r w:rsidRPr="00A52B0D">
        <w:rPr>
          <w:rFonts w:ascii="Garamond" w:hAnsi="Garamond"/>
          <w:sz w:val="24"/>
          <w:szCs w:val="24"/>
        </w:rPr>
        <w:t>Nella redazione del R</w:t>
      </w:r>
      <w:r w:rsidR="00110200" w:rsidRPr="00A52B0D">
        <w:rPr>
          <w:rFonts w:ascii="Garamond" w:hAnsi="Garamond"/>
          <w:sz w:val="24"/>
          <w:szCs w:val="24"/>
        </w:rPr>
        <w:t>endiconto si è provveduto a mantenere immutati i criteri di valutazione adottati rispetto al precedente esercizio.</w:t>
      </w:r>
    </w:p>
    <w:p w14:paraId="27017A35" w14:textId="77777777" w:rsidR="00110200" w:rsidRPr="00A52B0D" w:rsidRDefault="00110200" w:rsidP="00110200">
      <w:pPr>
        <w:spacing w:after="0" w:line="240" w:lineRule="auto"/>
        <w:ind w:firstLine="283"/>
        <w:jc w:val="both"/>
        <w:rPr>
          <w:rFonts w:ascii="Garamond" w:hAnsi="Garamond"/>
          <w:sz w:val="24"/>
          <w:szCs w:val="24"/>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9778"/>
      </w:tblGrid>
      <w:tr w:rsidR="00110200" w:rsidRPr="00A52B0D" w14:paraId="424072D1" w14:textId="77777777" w:rsidTr="006135AF">
        <w:trPr>
          <w:trHeight w:val="120"/>
        </w:trPr>
        <w:tc>
          <w:tcPr>
            <w:tcW w:w="9778" w:type="dxa"/>
            <w:shd w:val="clear" w:color="auto" w:fill="D3DFEE"/>
          </w:tcPr>
          <w:p w14:paraId="7EBA0AE2" w14:textId="0448136B" w:rsidR="00110200" w:rsidRPr="00A52B0D" w:rsidRDefault="00110200" w:rsidP="006135AF">
            <w:pPr>
              <w:spacing w:after="0" w:line="240" w:lineRule="auto"/>
              <w:jc w:val="both"/>
              <w:rPr>
                <w:rFonts w:ascii="Garamond" w:hAnsi="Garamond"/>
                <w:b/>
                <w:bCs/>
                <w:sz w:val="24"/>
                <w:szCs w:val="24"/>
              </w:rPr>
            </w:pPr>
            <w:r w:rsidRPr="00A52B0D">
              <w:rPr>
                <w:rFonts w:ascii="Garamond" w:hAnsi="Garamond"/>
                <w:b/>
                <w:bCs/>
                <w:sz w:val="24"/>
                <w:szCs w:val="24"/>
              </w:rPr>
              <w:t>Infor</w:t>
            </w:r>
            <w:r w:rsidR="007D2F7D" w:rsidRPr="00A52B0D">
              <w:rPr>
                <w:rFonts w:ascii="Garamond" w:hAnsi="Garamond"/>
                <w:b/>
                <w:bCs/>
                <w:sz w:val="24"/>
                <w:szCs w:val="24"/>
              </w:rPr>
              <w:t>mazioni sul Rendiconto delle entrate e delle u</w:t>
            </w:r>
            <w:r w:rsidRPr="00A52B0D">
              <w:rPr>
                <w:rFonts w:ascii="Garamond" w:hAnsi="Garamond"/>
                <w:b/>
                <w:bCs/>
                <w:sz w:val="24"/>
                <w:szCs w:val="24"/>
              </w:rPr>
              <w:t xml:space="preserve">scite   </w:t>
            </w:r>
            <w:r w:rsidR="00875687" w:rsidRPr="00A52B0D">
              <w:rPr>
                <w:rFonts w:ascii="Garamond" w:hAnsi="Garamond"/>
                <w:b/>
                <w:bCs/>
                <w:sz w:val="24"/>
                <w:szCs w:val="24"/>
              </w:rPr>
              <w:t>(</w:t>
            </w:r>
            <w:r w:rsidR="00A52B0D" w:rsidRPr="00A52B0D">
              <w:rPr>
                <w:rFonts w:ascii="Garamond" w:hAnsi="Garamond"/>
                <w:b/>
                <w:bCs/>
                <w:sz w:val="24"/>
                <w:szCs w:val="24"/>
              </w:rPr>
              <w:t xml:space="preserve">Allegato </w:t>
            </w:r>
            <w:r w:rsidR="00875687" w:rsidRPr="00A52B0D">
              <w:rPr>
                <w:rFonts w:ascii="Garamond" w:hAnsi="Garamond"/>
                <w:b/>
                <w:bCs/>
                <w:sz w:val="24"/>
                <w:szCs w:val="24"/>
              </w:rPr>
              <w:t>pp. 1 e 2)</w:t>
            </w:r>
            <w:r w:rsidRPr="00A52B0D">
              <w:rPr>
                <w:rFonts w:ascii="Garamond" w:hAnsi="Garamond"/>
                <w:b/>
                <w:bCs/>
                <w:sz w:val="24"/>
                <w:szCs w:val="24"/>
              </w:rPr>
              <w:t xml:space="preserve">                                                                              </w:t>
            </w:r>
          </w:p>
        </w:tc>
      </w:tr>
    </w:tbl>
    <w:p w14:paraId="3D81995D" w14:textId="77777777" w:rsidR="00110200" w:rsidRPr="00A52B0D" w:rsidRDefault="00110200" w:rsidP="00110200">
      <w:pPr>
        <w:spacing w:after="0" w:line="240" w:lineRule="auto"/>
        <w:ind w:firstLine="283"/>
        <w:jc w:val="both"/>
        <w:rPr>
          <w:rFonts w:ascii="Garamond" w:hAnsi="Garamond"/>
          <w:sz w:val="24"/>
          <w:szCs w:val="24"/>
        </w:rPr>
      </w:pPr>
    </w:p>
    <w:p w14:paraId="2FE54BAB" w14:textId="77777777" w:rsidR="00110200" w:rsidRPr="00A52B0D" w:rsidRDefault="00110200" w:rsidP="00110200">
      <w:pPr>
        <w:spacing w:after="0" w:line="240" w:lineRule="auto"/>
        <w:ind w:firstLine="283"/>
        <w:jc w:val="both"/>
        <w:rPr>
          <w:rFonts w:ascii="Garamond" w:hAnsi="Garamond"/>
          <w:sz w:val="24"/>
          <w:szCs w:val="24"/>
        </w:rPr>
      </w:pPr>
      <w:r w:rsidRPr="00A52B0D">
        <w:rPr>
          <w:rFonts w:ascii="Garamond" w:hAnsi="Garamond"/>
          <w:sz w:val="24"/>
          <w:szCs w:val="24"/>
        </w:rPr>
        <w:t>Le aree gestion</w:t>
      </w:r>
      <w:r w:rsidR="0047478A" w:rsidRPr="00A52B0D">
        <w:rPr>
          <w:rFonts w:ascii="Garamond" w:hAnsi="Garamond"/>
          <w:sz w:val="24"/>
          <w:szCs w:val="24"/>
        </w:rPr>
        <w:t>ali principali individuate nel R</w:t>
      </w:r>
      <w:r w:rsidRPr="00A52B0D">
        <w:rPr>
          <w:rFonts w:ascii="Garamond" w:hAnsi="Garamond"/>
          <w:sz w:val="24"/>
          <w:szCs w:val="24"/>
        </w:rPr>
        <w:t>endiconto delle entrate e delle spese di gestione sono:</w:t>
      </w:r>
    </w:p>
    <w:p w14:paraId="0A94B285" w14:textId="77777777" w:rsidR="00110200" w:rsidRPr="00A52B0D" w:rsidRDefault="00110200" w:rsidP="00110200">
      <w:pPr>
        <w:spacing w:after="0" w:line="240" w:lineRule="auto"/>
        <w:jc w:val="both"/>
        <w:rPr>
          <w:rFonts w:ascii="Garamond" w:hAnsi="Garamond"/>
          <w:sz w:val="24"/>
          <w:szCs w:val="24"/>
        </w:rPr>
      </w:pPr>
      <w:r w:rsidRPr="00A52B0D">
        <w:rPr>
          <w:rFonts w:ascii="Garamond" w:hAnsi="Garamond"/>
          <w:b/>
          <w:sz w:val="24"/>
          <w:szCs w:val="24"/>
        </w:rPr>
        <w:t xml:space="preserve">– quote associative: </w:t>
      </w:r>
      <w:r w:rsidRPr="00A52B0D">
        <w:rPr>
          <w:rFonts w:ascii="Garamond" w:hAnsi="Garamond"/>
          <w:sz w:val="24"/>
          <w:szCs w:val="24"/>
        </w:rPr>
        <w:t xml:space="preserve">si tratta delle entrate per quote associative versate </w:t>
      </w:r>
      <w:r w:rsidR="0047478A" w:rsidRPr="00A52B0D">
        <w:rPr>
          <w:rFonts w:ascii="Garamond" w:hAnsi="Garamond"/>
          <w:sz w:val="24"/>
          <w:szCs w:val="24"/>
        </w:rPr>
        <w:t>dai soci</w:t>
      </w:r>
      <w:r w:rsidRPr="00A52B0D">
        <w:rPr>
          <w:rFonts w:ascii="Garamond" w:hAnsi="Garamond"/>
          <w:sz w:val="24"/>
          <w:szCs w:val="24"/>
        </w:rPr>
        <w:t>, secondo quanto previsto dallo statuto;</w:t>
      </w:r>
    </w:p>
    <w:p w14:paraId="0591522A" w14:textId="77777777" w:rsidR="00110200" w:rsidRPr="00A52B0D" w:rsidRDefault="00110200" w:rsidP="00110200">
      <w:pPr>
        <w:spacing w:after="0" w:line="240" w:lineRule="auto"/>
        <w:jc w:val="both"/>
        <w:rPr>
          <w:rFonts w:ascii="Garamond" w:hAnsi="Garamond"/>
          <w:b/>
          <w:sz w:val="24"/>
          <w:szCs w:val="24"/>
        </w:rPr>
      </w:pPr>
      <w:r w:rsidRPr="00A52B0D">
        <w:rPr>
          <w:rFonts w:ascii="Garamond" w:hAnsi="Garamond"/>
          <w:b/>
          <w:sz w:val="24"/>
          <w:szCs w:val="24"/>
        </w:rPr>
        <w:t>– liberalità:</w:t>
      </w:r>
      <w:r w:rsidRPr="00A52B0D">
        <w:rPr>
          <w:rFonts w:ascii="Garamond" w:hAnsi="Garamond"/>
          <w:sz w:val="24"/>
          <w:szCs w:val="24"/>
        </w:rPr>
        <w:t xml:space="preserve"> si tratta di erogazioni ricevute, complementari rispetto alle entrate per attività sociali, in quanto in grado di garantire all</w:t>
      </w:r>
      <w:r w:rsidR="0047478A" w:rsidRPr="00A52B0D">
        <w:rPr>
          <w:rFonts w:ascii="Garamond" w:hAnsi="Garamond"/>
          <w:sz w:val="24"/>
          <w:szCs w:val="24"/>
        </w:rPr>
        <w:t>’</w:t>
      </w:r>
      <w:r w:rsidRPr="00A52B0D">
        <w:rPr>
          <w:rFonts w:ascii="Garamond" w:hAnsi="Garamond"/>
          <w:sz w:val="24"/>
          <w:szCs w:val="24"/>
        </w:rPr>
        <w:t>ente risorse utili a perseguire le finalità istituzionali espresse dallo statuto;</w:t>
      </w:r>
    </w:p>
    <w:p w14:paraId="3309D16D" w14:textId="77777777" w:rsidR="00110200" w:rsidRPr="00A52B0D" w:rsidRDefault="00110200" w:rsidP="00110200">
      <w:pPr>
        <w:spacing w:after="0" w:line="240" w:lineRule="auto"/>
        <w:jc w:val="both"/>
        <w:rPr>
          <w:rFonts w:ascii="Garamond" w:hAnsi="Garamond"/>
          <w:sz w:val="24"/>
          <w:szCs w:val="24"/>
        </w:rPr>
      </w:pPr>
      <w:r w:rsidRPr="00A52B0D">
        <w:rPr>
          <w:rFonts w:ascii="Garamond" w:hAnsi="Garamond"/>
          <w:b/>
          <w:sz w:val="24"/>
          <w:szCs w:val="24"/>
        </w:rPr>
        <w:t xml:space="preserve">– </w:t>
      </w:r>
      <w:r w:rsidR="0047478A" w:rsidRPr="00A52B0D">
        <w:rPr>
          <w:rFonts w:ascii="Garamond" w:hAnsi="Garamond"/>
          <w:b/>
          <w:sz w:val="24"/>
          <w:szCs w:val="24"/>
        </w:rPr>
        <w:t xml:space="preserve">entrate per attività sociali: </w:t>
      </w:r>
      <w:r w:rsidRPr="00A52B0D">
        <w:rPr>
          <w:rFonts w:ascii="Garamond" w:hAnsi="Garamond"/>
          <w:sz w:val="24"/>
          <w:szCs w:val="24"/>
        </w:rPr>
        <w:t>si tratta di  attività svolte dall</w:t>
      </w:r>
      <w:r w:rsidR="0047478A" w:rsidRPr="00A52B0D">
        <w:rPr>
          <w:rFonts w:ascii="Garamond" w:hAnsi="Garamond"/>
          <w:sz w:val="24"/>
          <w:szCs w:val="24"/>
        </w:rPr>
        <w:t>’</w:t>
      </w:r>
      <w:r w:rsidRPr="00A52B0D">
        <w:rPr>
          <w:rFonts w:ascii="Garamond" w:hAnsi="Garamond"/>
          <w:sz w:val="24"/>
          <w:szCs w:val="24"/>
        </w:rPr>
        <w:t>associazione in conformità con l</w:t>
      </w:r>
      <w:r w:rsidR="0047478A" w:rsidRPr="00A52B0D">
        <w:rPr>
          <w:rFonts w:ascii="Garamond" w:hAnsi="Garamond"/>
          <w:sz w:val="24"/>
          <w:szCs w:val="24"/>
        </w:rPr>
        <w:t>’</w:t>
      </w:r>
      <w:r w:rsidRPr="00A52B0D">
        <w:rPr>
          <w:rFonts w:ascii="Garamond" w:hAnsi="Garamond"/>
          <w:sz w:val="24"/>
          <w:szCs w:val="24"/>
        </w:rPr>
        <w:t>oggetto sociale;</w:t>
      </w:r>
    </w:p>
    <w:p w14:paraId="1AB416F8" w14:textId="77777777" w:rsidR="00110200" w:rsidRPr="00A52B0D" w:rsidRDefault="00110200" w:rsidP="00110200">
      <w:pPr>
        <w:spacing w:after="0" w:line="240" w:lineRule="auto"/>
        <w:jc w:val="both"/>
        <w:rPr>
          <w:rFonts w:ascii="Garamond" w:hAnsi="Garamond"/>
          <w:sz w:val="24"/>
          <w:szCs w:val="24"/>
        </w:rPr>
      </w:pPr>
      <w:r w:rsidRPr="00A52B0D">
        <w:rPr>
          <w:rFonts w:ascii="Garamond" w:hAnsi="Garamond"/>
          <w:b/>
          <w:sz w:val="24"/>
          <w:szCs w:val="24"/>
        </w:rPr>
        <w:t xml:space="preserve">– entrate per progetti specifici: </w:t>
      </w:r>
      <w:r w:rsidRPr="00A52B0D">
        <w:rPr>
          <w:rFonts w:ascii="Garamond" w:hAnsi="Garamond"/>
          <w:sz w:val="24"/>
          <w:szCs w:val="24"/>
        </w:rPr>
        <w:t>si tratta</w:t>
      </w:r>
      <w:r w:rsidRPr="00A52B0D">
        <w:rPr>
          <w:rFonts w:ascii="Garamond" w:hAnsi="Garamond"/>
          <w:b/>
          <w:sz w:val="24"/>
          <w:szCs w:val="24"/>
        </w:rPr>
        <w:t xml:space="preserve"> </w:t>
      </w:r>
      <w:r w:rsidRPr="00A52B0D">
        <w:rPr>
          <w:rFonts w:ascii="Garamond" w:hAnsi="Garamond"/>
          <w:sz w:val="24"/>
          <w:szCs w:val="24"/>
        </w:rPr>
        <w:t>della realizzazione di progetti finanziati da enti pubblici o privati;</w:t>
      </w:r>
    </w:p>
    <w:p w14:paraId="09E1EFCE" w14:textId="77777777" w:rsidR="00110200" w:rsidRPr="00A52B0D" w:rsidRDefault="00110200" w:rsidP="00110200">
      <w:pPr>
        <w:spacing w:after="0" w:line="240" w:lineRule="auto"/>
        <w:jc w:val="both"/>
        <w:rPr>
          <w:rFonts w:ascii="Garamond" w:hAnsi="Garamond"/>
          <w:sz w:val="24"/>
          <w:szCs w:val="24"/>
        </w:rPr>
      </w:pPr>
      <w:r w:rsidRPr="00A52B0D">
        <w:rPr>
          <w:rFonts w:ascii="Garamond" w:hAnsi="Garamond"/>
          <w:b/>
          <w:sz w:val="24"/>
          <w:szCs w:val="24"/>
        </w:rPr>
        <w:t xml:space="preserve">– entrate diverse: </w:t>
      </w:r>
      <w:r w:rsidRPr="00A52B0D">
        <w:rPr>
          <w:rFonts w:ascii="Garamond" w:hAnsi="Garamond"/>
          <w:sz w:val="24"/>
          <w:szCs w:val="24"/>
        </w:rPr>
        <w:t>si</w:t>
      </w:r>
      <w:r w:rsidR="00A84BC1" w:rsidRPr="00A52B0D">
        <w:rPr>
          <w:rFonts w:ascii="Garamond" w:hAnsi="Garamond"/>
          <w:sz w:val="24"/>
          <w:szCs w:val="24"/>
        </w:rPr>
        <w:t xml:space="preserve"> tratta di entrate relative al </w:t>
      </w:r>
      <w:r w:rsidRPr="00A52B0D">
        <w:rPr>
          <w:rFonts w:ascii="Garamond" w:hAnsi="Garamond"/>
          <w:sz w:val="24"/>
          <w:szCs w:val="24"/>
        </w:rPr>
        <w:t>5</w:t>
      </w:r>
      <w:r w:rsidRPr="00A52B0D">
        <w:rPr>
          <w:rFonts w:ascii="Garamond" w:hAnsi="Garamond" w:cs="Calibri"/>
          <w:sz w:val="24"/>
          <w:szCs w:val="24"/>
        </w:rPr>
        <w:t>×</w:t>
      </w:r>
      <w:r w:rsidR="0047478A" w:rsidRPr="00A52B0D">
        <w:rPr>
          <w:rFonts w:ascii="Garamond" w:hAnsi="Garamond"/>
          <w:sz w:val="24"/>
          <w:szCs w:val="24"/>
        </w:rPr>
        <w:t>1000;</w:t>
      </w:r>
    </w:p>
    <w:p w14:paraId="3BB95ECB" w14:textId="77777777" w:rsidR="006135AF" w:rsidRPr="00A52B0D" w:rsidRDefault="006135AF" w:rsidP="00110200">
      <w:pPr>
        <w:spacing w:after="0" w:line="240" w:lineRule="auto"/>
        <w:jc w:val="both"/>
        <w:rPr>
          <w:rFonts w:ascii="Garamond" w:hAnsi="Garamond"/>
          <w:sz w:val="24"/>
          <w:szCs w:val="24"/>
        </w:rPr>
      </w:pPr>
      <w:r w:rsidRPr="00A52B0D">
        <w:rPr>
          <w:rFonts w:ascii="Garamond" w:hAnsi="Garamond"/>
          <w:b/>
          <w:sz w:val="24"/>
          <w:szCs w:val="24"/>
        </w:rPr>
        <w:t xml:space="preserve">– spese gestione ordinaria: </w:t>
      </w:r>
      <w:r w:rsidRPr="00A52B0D">
        <w:rPr>
          <w:rFonts w:ascii="Garamond" w:hAnsi="Garamond"/>
          <w:sz w:val="24"/>
          <w:szCs w:val="24"/>
        </w:rPr>
        <w:t>si tratta delle spese necessarie alla gestione dell</w:t>
      </w:r>
      <w:r w:rsidR="0047478A" w:rsidRPr="00A52B0D">
        <w:rPr>
          <w:rFonts w:ascii="Garamond" w:hAnsi="Garamond"/>
          <w:sz w:val="24"/>
          <w:szCs w:val="24"/>
        </w:rPr>
        <w:t>’</w:t>
      </w:r>
      <w:r w:rsidRPr="00A52B0D">
        <w:rPr>
          <w:rFonts w:ascii="Garamond" w:hAnsi="Garamond"/>
          <w:sz w:val="24"/>
          <w:szCs w:val="24"/>
        </w:rPr>
        <w:t>ente (spese tenuta conto, spese postali, servizi amministrativi; imposte e tasse, ecc.)</w:t>
      </w:r>
      <w:r w:rsidR="0047478A" w:rsidRPr="00A52B0D">
        <w:rPr>
          <w:rFonts w:ascii="Garamond" w:hAnsi="Garamond"/>
          <w:sz w:val="24"/>
          <w:szCs w:val="24"/>
        </w:rPr>
        <w:t>;</w:t>
      </w:r>
    </w:p>
    <w:p w14:paraId="51766AFC" w14:textId="77777777" w:rsidR="006135AF" w:rsidRPr="00A52B0D" w:rsidRDefault="006135AF" w:rsidP="00110200">
      <w:pPr>
        <w:spacing w:after="0" w:line="240" w:lineRule="auto"/>
        <w:jc w:val="both"/>
        <w:rPr>
          <w:rFonts w:ascii="Garamond" w:hAnsi="Garamond"/>
          <w:sz w:val="24"/>
          <w:szCs w:val="24"/>
        </w:rPr>
      </w:pPr>
      <w:r w:rsidRPr="00A52B0D">
        <w:rPr>
          <w:rFonts w:ascii="Garamond" w:hAnsi="Garamond"/>
          <w:b/>
          <w:sz w:val="24"/>
          <w:szCs w:val="24"/>
        </w:rPr>
        <w:t xml:space="preserve">– spese istituzionali: </w:t>
      </w:r>
      <w:r w:rsidRPr="00A52B0D">
        <w:rPr>
          <w:rFonts w:ascii="Garamond" w:hAnsi="Garamond"/>
          <w:sz w:val="24"/>
          <w:szCs w:val="24"/>
        </w:rPr>
        <w:t>si tratta di tutte le spese sostenute per perseguire le finalità istituzionali (spese tipografiche; allestimento eventi; erogazione borsa di studio; compensi e rimborsi; attrezzature ecc.)</w:t>
      </w:r>
    </w:p>
    <w:p w14:paraId="46F32C33" w14:textId="77777777" w:rsidR="00110200" w:rsidRPr="00A52B0D" w:rsidRDefault="00110200" w:rsidP="00110200">
      <w:pPr>
        <w:spacing w:after="0" w:line="240" w:lineRule="auto"/>
        <w:ind w:firstLine="283"/>
        <w:jc w:val="both"/>
        <w:rPr>
          <w:rFonts w:ascii="Garamond" w:hAnsi="Garamond"/>
          <w:sz w:val="24"/>
          <w:szCs w:val="24"/>
        </w:rPr>
      </w:pPr>
    </w:p>
    <w:p w14:paraId="79F37485" w14:textId="77777777" w:rsidR="00110200" w:rsidRPr="00A52B0D" w:rsidRDefault="00110200" w:rsidP="00110200">
      <w:pPr>
        <w:spacing w:after="0" w:line="240" w:lineRule="auto"/>
        <w:ind w:firstLine="283"/>
        <w:jc w:val="both"/>
        <w:rPr>
          <w:rFonts w:ascii="Garamond" w:hAnsi="Garamond"/>
          <w:sz w:val="24"/>
          <w:szCs w:val="24"/>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9778"/>
      </w:tblGrid>
      <w:tr w:rsidR="00110200" w:rsidRPr="00A52B0D" w14:paraId="6004C335" w14:textId="77777777" w:rsidTr="006135AF">
        <w:trPr>
          <w:trHeight w:val="120"/>
        </w:trPr>
        <w:tc>
          <w:tcPr>
            <w:tcW w:w="9778" w:type="dxa"/>
            <w:shd w:val="clear" w:color="auto" w:fill="D3DFEE"/>
          </w:tcPr>
          <w:p w14:paraId="0BCA03E9" w14:textId="7DC93EC8" w:rsidR="00110200" w:rsidRPr="00A52B0D" w:rsidRDefault="00110200" w:rsidP="006135AF">
            <w:pPr>
              <w:spacing w:after="0" w:line="240" w:lineRule="auto"/>
              <w:jc w:val="both"/>
              <w:rPr>
                <w:rFonts w:ascii="Garamond" w:hAnsi="Garamond"/>
                <w:b/>
                <w:bCs/>
                <w:sz w:val="24"/>
                <w:szCs w:val="24"/>
              </w:rPr>
            </w:pPr>
            <w:r w:rsidRPr="00A52B0D">
              <w:rPr>
                <w:rFonts w:ascii="Garamond" w:hAnsi="Garamond"/>
                <w:b/>
                <w:bCs/>
                <w:sz w:val="24"/>
                <w:szCs w:val="24"/>
              </w:rPr>
              <w:t xml:space="preserve">Informazioni sulla </w:t>
            </w:r>
            <w:r w:rsidR="007D2F7D" w:rsidRPr="00A52B0D">
              <w:rPr>
                <w:rFonts w:ascii="Garamond" w:hAnsi="Garamond"/>
                <w:b/>
                <w:bCs/>
                <w:sz w:val="24"/>
                <w:szCs w:val="24"/>
              </w:rPr>
              <w:t>situazione f</w:t>
            </w:r>
            <w:r w:rsidRPr="00A52B0D">
              <w:rPr>
                <w:rFonts w:ascii="Garamond" w:hAnsi="Garamond"/>
                <w:b/>
                <w:bCs/>
                <w:sz w:val="24"/>
                <w:szCs w:val="24"/>
              </w:rPr>
              <w:t xml:space="preserve">inanziaria </w:t>
            </w:r>
          </w:p>
        </w:tc>
      </w:tr>
    </w:tbl>
    <w:p w14:paraId="31C19F9F" w14:textId="77777777" w:rsidR="00110200" w:rsidRPr="00A52B0D" w:rsidRDefault="00110200" w:rsidP="00110200">
      <w:pPr>
        <w:spacing w:after="0" w:line="240" w:lineRule="auto"/>
        <w:ind w:firstLine="283"/>
        <w:jc w:val="both"/>
        <w:rPr>
          <w:rFonts w:ascii="Garamond" w:hAnsi="Garamond"/>
          <w:sz w:val="24"/>
          <w:szCs w:val="24"/>
        </w:rPr>
      </w:pPr>
    </w:p>
    <w:p w14:paraId="6C1568A8" w14:textId="1EDCBF8F" w:rsidR="00110200" w:rsidRPr="00A52B0D" w:rsidRDefault="00110200" w:rsidP="00110200">
      <w:pPr>
        <w:spacing w:after="0" w:line="240" w:lineRule="auto"/>
        <w:ind w:firstLine="283"/>
        <w:jc w:val="both"/>
        <w:rPr>
          <w:rFonts w:ascii="Garamond" w:hAnsi="Garamond"/>
          <w:sz w:val="24"/>
          <w:szCs w:val="24"/>
        </w:rPr>
      </w:pPr>
      <w:r w:rsidRPr="00A52B0D">
        <w:rPr>
          <w:rFonts w:ascii="Garamond" w:hAnsi="Garamond"/>
          <w:sz w:val="24"/>
          <w:szCs w:val="24"/>
        </w:rPr>
        <w:t>Lo stato patrimoniale dell</w:t>
      </w:r>
      <w:r w:rsidR="0047478A" w:rsidRPr="00A52B0D">
        <w:rPr>
          <w:rFonts w:ascii="Garamond" w:hAnsi="Garamond"/>
          <w:sz w:val="24"/>
          <w:szCs w:val="24"/>
        </w:rPr>
        <w:t>’</w:t>
      </w:r>
      <w:r w:rsidRPr="00A52B0D">
        <w:rPr>
          <w:rFonts w:ascii="Garamond" w:hAnsi="Garamond"/>
          <w:sz w:val="24"/>
          <w:szCs w:val="24"/>
        </w:rPr>
        <w:t>ente è solido. Il totale delle attività è dato dalla somma dei fondi liquidi, delle immobilizzazioni,</w:t>
      </w:r>
      <w:r w:rsidR="009B146D" w:rsidRPr="00A52B0D">
        <w:rPr>
          <w:rFonts w:ascii="Garamond" w:hAnsi="Garamond"/>
          <w:sz w:val="24"/>
          <w:szCs w:val="24"/>
        </w:rPr>
        <w:t xml:space="preserve"> delle rimanenze di magazzino; </w:t>
      </w:r>
      <w:r w:rsidRPr="00A52B0D">
        <w:rPr>
          <w:rFonts w:ascii="Garamond" w:hAnsi="Garamond"/>
          <w:sz w:val="24"/>
          <w:szCs w:val="24"/>
        </w:rPr>
        <w:t>dalle quote sociali da incassare</w:t>
      </w:r>
      <w:r w:rsidR="009B146D" w:rsidRPr="00A52B0D">
        <w:rPr>
          <w:rFonts w:ascii="Garamond" w:hAnsi="Garamond"/>
          <w:sz w:val="24"/>
          <w:szCs w:val="24"/>
        </w:rPr>
        <w:t xml:space="preserve"> e da crediti verso enti e fornitori</w:t>
      </w:r>
      <w:r w:rsidRPr="00A52B0D">
        <w:rPr>
          <w:rFonts w:ascii="Garamond" w:hAnsi="Garamond"/>
          <w:sz w:val="24"/>
          <w:szCs w:val="24"/>
        </w:rPr>
        <w:t>.</w:t>
      </w:r>
      <w:r w:rsidR="0032043B" w:rsidRPr="00A52B0D">
        <w:rPr>
          <w:rFonts w:ascii="Garamond" w:hAnsi="Garamond"/>
          <w:sz w:val="24"/>
          <w:szCs w:val="24"/>
        </w:rPr>
        <w:t xml:space="preserve"> Esso ammonta a euro </w:t>
      </w:r>
      <w:r w:rsidR="00F32913">
        <w:rPr>
          <w:rFonts w:ascii="Garamond" w:hAnsi="Garamond" w:cs="Courier New"/>
          <w:sz w:val="24"/>
          <w:szCs w:val="24"/>
        </w:rPr>
        <w:t>69.743</w:t>
      </w:r>
      <w:r w:rsidR="00621B19" w:rsidRPr="00A52B0D">
        <w:rPr>
          <w:rFonts w:ascii="Garamond" w:hAnsi="Garamond" w:cs="Courier New"/>
          <w:sz w:val="24"/>
          <w:szCs w:val="24"/>
        </w:rPr>
        <w:t>,</w:t>
      </w:r>
      <w:r w:rsidR="00770568" w:rsidRPr="00A52B0D">
        <w:rPr>
          <w:rFonts w:ascii="Garamond" w:hAnsi="Garamond" w:cs="Courier New"/>
          <w:sz w:val="24"/>
          <w:szCs w:val="24"/>
        </w:rPr>
        <w:t>83</w:t>
      </w:r>
      <w:r w:rsidR="00A52B0D" w:rsidRPr="00A52B0D">
        <w:rPr>
          <w:rFonts w:ascii="Garamond" w:hAnsi="Garamond" w:cs="Courier New"/>
          <w:sz w:val="24"/>
          <w:szCs w:val="24"/>
        </w:rPr>
        <w:t xml:space="preserve"> (allegato p. 3)</w:t>
      </w:r>
      <w:r w:rsidR="009B146D" w:rsidRPr="00A52B0D">
        <w:rPr>
          <w:rFonts w:ascii="Garamond" w:hAnsi="Garamond" w:cs="Courier New"/>
          <w:sz w:val="24"/>
          <w:szCs w:val="24"/>
        </w:rPr>
        <w:t xml:space="preserve">. </w:t>
      </w:r>
    </w:p>
    <w:p w14:paraId="0C5CE354" w14:textId="6D8CFCBF" w:rsidR="0032043B" w:rsidRPr="00A52B0D" w:rsidRDefault="0032043B" w:rsidP="00110200">
      <w:pPr>
        <w:spacing w:after="0" w:line="240" w:lineRule="auto"/>
        <w:ind w:firstLine="283"/>
        <w:jc w:val="both"/>
        <w:rPr>
          <w:rFonts w:ascii="Garamond" w:hAnsi="Garamond"/>
          <w:sz w:val="24"/>
          <w:szCs w:val="24"/>
        </w:rPr>
      </w:pPr>
      <w:r w:rsidRPr="00A52B0D">
        <w:rPr>
          <w:rFonts w:ascii="Garamond" w:hAnsi="Garamond"/>
          <w:sz w:val="24"/>
          <w:szCs w:val="24"/>
        </w:rPr>
        <w:t>Le immobilizzazioni sono iscritte al costo storico di acquis</w:t>
      </w:r>
      <w:r w:rsidR="00F926D7" w:rsidRPr="00A52B0D">
        <w:rPr>
          <w:rFonts w:ascii="Garamond" w:hAnsi="Garamond"/>
          <w:sz w:val="24"/>
          <w:szCs w:val="24"/>
        </w:rPr>
        <w:t>to</w:t>
      </w:r>
      <w:r w:rsidRPr="00A52B0D">
        <w:rPr>
          <w:rFonts w:ascii="Garamond" w:hAnsi="Garamond"/>
          <w:sz w:val="24"/>
          <w:szCs w:val="24"/>
        </w:rPr>
        <w:t xml:space="preserve">. Sono esposte al netto degli ammortamenti effettuati nel corso degli esercizi (si è proceduto con una svalutazione </w:t>
      </w:r>
      <w:r w:rsidR="00F926D7" w:rsidRPr="00A52B0D">
        <w:rPr>
          <w:rFonts w:ascii="Garamond" w:hAnsi="Garamond"/>
          <w:sz w:val="24"/>
          <w:szCs w:val="24"/>
        </w:rPr>
        <w:t>annua del 50%</w:t>
      </w:r>
      <w:r w:rsidRPr="00A52B0D">
        <w:rPr>
          <w:rFonts w:ascii="Garamond" w:hAnsi="Garamond"/>
          <w:sz w:val="24"/>
          <w:szCs w:val="24"/>
        </w:rPr>
        <w:t>)</w:t>
      </w:r>
      <w:r w:rsidR="00A52B0D" w:rsidRPr="00A52B0D">
        <w:rPr>
          <w:rFonts w:ascii="Garamond" w:hAnsi="Garamond"/>
          <w:sz w:val="24"/>
          <w:szCs w:val="24"/>
        </w:rPr>
        <w:t xml:space="preserve"> (allegato p. 5)</w:t>
      </w:r>
      <w:r w:rsidRPr="00A52B0D">
        <w:rPr>
          <w:rFonts w:ascii="Garamond" w:hAnsi="Garamond"/>
          <w:sz w:val="24"/>
          <w:szCs w:val="24"/>
        </w:rPr>
        <w:t xml:space="preserve">. </w:t>
      </w:r>
    </w:p>
    <w:p w14:paraId="6289CF60" w14:textId="00A5672F" w:rsidR="0032043B" w:rsidRPr="00A52B0D" w:rsidRDefault="0032043B" w:rsidP="00110200">
      <w:pPr>
        <w:spacing w:after="0" w:line="240" w:lineRule="auto"/>
        <w:ind w:firstLine="283"/>
        <w:jc w:val="both"/>
        <w:rPr>
          <w:rFonts w:ascii="Garamond" w:hAnsi="Garamond"/>
          <w:sz w:val="24"/>
          <w:szCs w:val="24"/>
        </w:rPr>
      </w:pPr>
      <w:r w:rsidRPr="00A52B0D">
        <w:rPr>
          <w:rFonts w:ascii="Garamond" w:hAnsi="Garamond"/>
          <w:sz w:val="24"/>
          <w:szCs w:val="24"/>
        </w:rPr>
        <w:t>Le rimanenze di magazzino sono iscritte al costo storico di acquis</w:t>
      </w:r>
      <w:r w:rsidR="00F926D7" w:rsidRPr="00A52B0D">
        <w:rPr>
          <w:rFonts w:ascii="Garamond" w:hAnsi="Garamond"/>
          <w:sz w:val="24"/>
          <w:szCs w:val="24"/>
        </w:rPr>
        <w:t>to</w:t>
      </w:r>
      <w:r w:rsidR="00A52B0D" w:rsidRPr="00A52B0D">
        <w:rPr>
          <w:rFonts w:ascii="Garamond" w:hAnsi="Garamond"/>
          <w:sz w:val="24"/>
          <w:szCs w:val="24"/>
        </w:rPr>
        <w:t xml:space="preserve"> (allegato p. 5)</w:t>
      </w:r>
      <w:r w:rsidRPr="00A52B0D">
        <w:rPr>
          <w:rFonts w:ascii="Garamond" w:hAnsi="Garamond"/>
          <w:sz w:val="24"/>
          <w:szCs w:val="24"/>
        </w:rPr>
        <w:t xml:space="preserve">. </w:t>
      </w:r>
    </w:p>
    <w:p w14:paraId="5BE5891D" w14:textId="23EA5BEA" w:rsidR="009B146D" w:rsidRPr="00A52B0D" w:rsidRDefault="009B146D" w:rsidP="00110200">
      <w:pPr>
        <w:spacing w:after="0" w:line="240" w:lineRule="auto"/>
        <w:ind w:firstLine="283"/>
        <w:jc w:val="both"/>
        <w:rPr>
          <w:rFonts w:ascii="Garamond" w:hAnsi="Garamond"/>
          <w:sz w:val="24"/>
          <w:szCs w:val="24"/>
        </w:rPr>
      </w:pPr>
      <w:r w:rsidRPr="00A52B0D">
        <w:rPr>
          <w:rFonts w:ascii="Garamond" w:hAnsi="Garamond"/>
          <w:sz w:val="24"/>
          <w:szCs w:val="24"/>
        </w:rPr>
        <w:t xml:space="preserve">Le passività consistono in impegni di spesa: </w:t>
      </w:r>
      <w:r w:rsidR="00A52B0D" w:rsidRPr="00A52B0D">
        <w:rPr>
          <w:rFonts w:ascii="Garamond" w:hAnsi="Garamond"/>
          <w:sz w:val="24"/>
          <w:szCs w:val="24"/>
        </w:rPr>
        <w:t>allegato p. 3.</w:t>
      </w:r>
    </w:p>
    <w:p w14:paraId="0FCA0550" w14:textId="10C650A1" w:rsidR="00E53580" w:rsidRPr="00A52B0D" w:rsidRDefault="00E53580" w:rsidP="00110200">
      <w:pPr>
        <w:spacing w:after="0" w:line="240" w:lineRule="auto"/>
        <w:ind w:firstLine="283"/>
        <w:jc w:val="both"/>
        <w:rPr>
          <w:rFonts w:ascii="Garamond" w:hAnsi="Garamond"/>
          <w:sz w:val="24"/>
          <w:szCs w:val="24"/>
        </w:rPr>
      </w:pPr>
      <w:r w:rsidRPr="00A52B0D">
        <w:rPr>
          <w:rFonts w:ascii="Garamond" w:hAnsi="Garamond"/>
          <w:sz w:val="24"/>
          <w:szCs w:val="24"/>
        </w:rPr>
        <w:t xml:space="preserve">La differenza tra attività e passività ammonta a </w:t>
      </w:r>
      <w:r w:rsidR="00770568" w:rsidRPr="00A52B0D">
        <w:rPr>
          <w:rFonts w:ascii="Garamond" w:hAnsi="Garamond" w:cs="Courier New"/>
          <w:sz w:val="24"/>
          <w:szCs w:val="24"/>
        </w:rPr>
        <w:t>36.</w:t>
      </w:r>
      <w:r w:rsidR="00F32913">
        <w:rPr>
          <w:rFonts w:ascii="Garamond" w:hAnsi="Garamond" w:cs="Courier New"/>
          <w:sz w:val="24"/>
          <w:szCs w:val="24"/>
        </w:rPr>
        <w:t>155</w:t>
      </w:r>
      <w:r w:rsidR="00770568" w:rsidRPr="00A52B0D">
        <w:rPr>
          <w:rFonts w:ascii="Garamond" w:hAnsi="Garamond" w:cs="Courier New"/>
          <w:sz w:val="24"/>
          <w:szCs w:val="24"/>
        </w:rPr>
        <w:t>,</w:t>
      </w:r>
      <w:r w:rsidR="00366DDE">
        <w:rPr>
          <w:rFonts w:ascii="Garamond" w:hAnsi="Garamond" w:cs="Courier New"/>
          <w:sz w:val="24"/>
          <w:szCs w:val="24"/>
        </w:rPr>
        <w:t>29</w:t>
      </w:r>
      <w:r w:rsidR="00A52B0D" w:rsidRPr="00A52B0D">
        <w:rPr>
          <w:rFonts w:ascii="Garamond" w:hAnsi="Garamond" w:cs="Courier New"/>
          <w:sz w:val="24"/>
          <w:szCs w:val="24"/>
        </w:rPr>
        <w:t xml:space="preserve"> (allegato p. 3)</w:t>
      </w:r>
      <w:r w:rsidR="00F46A84" w:rsidRPr="00A52B0D">
        <w:rPr>
          <w:rFonts w:ascii="Garamond" w:hAnsi="Garamond"/>
          <w:sz w:val="24"/>
          <w:szCs w:val="24"/>
        </w:rPr>
        <w:t xml:space="preserve">, </w:t>
      </w:r>
      <w:r w:rsidRPr="00A52B0D">
        <w:rPr>
          <w:rFonts w:ascii="Garamond" w:hAnsi="Garamond"/>
          <w:sz w:val="24"/>
          <w:szCs w:val="24"/>
        </w:rPr>
        <w:t>garantendo un patrimonio complessivo superiore ai 15.000,00 euro che permetterà il mantenimento della personalità giuridica anche nel rispetto del Codice del Terzo Settore.</w:t>
      </w:r>
    </w:p>
    <w:p w14:paraId="543A977E" w14:textId="6BE831BF" w:rsidR="00E53580" w:rsidRPr="00A52B0D" w:rsidRDefault="00E53580" w:rsidP="00E53580">
      <w:pPr>
        <w:spacing w:after="0" w:line="240" w:lineRule="auto"/>
        <w:ind w:firstLine="283"/>
        <w:jc w:val="both"/>
        <w:rPr>
          <w:rFonts w:ascii="Garamond" w:hAnsi="Garamond"/>
          <w:sz w:val="24"/>
          <w:szCs w:val="24"/>
        </w:rPr>
      </w:pPr>
      <w:r w:rsidRPr="00A52B0D">
        <w:rPr>
          <w:rFonts w:ascii="Garamond" w:hAnsi="Garamond"/>
          <w:sz w:val="24"/>
          <w:szCs w:val="24"/>
        </w:rPr>
        <w:t xml:space="preserve">L’avanzo di cassa ammonta a </w:t>
      </w:r>
      <w:r w:rsidR="00875687" w:rsidRPr="00A52B0D">
        <w:rPr>
          <w:rFonts w:ascii="Garamond" w:hAnsi="Garamond"/>
          <w:sz w:val="24"/>
          <w:szCs w:val="24"/>
        </w:rPr>
        <w:t xml:space="preserve">euro </w:t>
      </w:r>
      <w:r w:rsidR="00770568" w:rsidRPr="00A52B0D">
        <w:rPr>
          <w:rFonts w:ascii="Garamond" w:hAnsi="Garamond" w:cs="Courier New"/>
          <w:color w:val="000000"/>
          <w:sz w:val="24"/>
          <w:szCs w:val="24"/>
        </w:rPr>
        <w:t>44.456,45</w:t>
      </w:r>
      <w:r w:rsidR="00875687" w:rsidRPr="00A52B0D">
        <w:rPr>
          <w:rFonts w:ascii="Garamond" w:hAnsi="Garamond" w:cs="Courier New"/>
          <w:b/>
          <w:color w:val="000000"/>
          <w:sz w:val="24"/>
          <w:szCs w:val="24"/>
        </w:rPr>
        <w:t xml:space="preserve"> (</w:t>
      </w:r>
      <w:r w:rsidR="00A52B0D" w:rsidRPr="00A52B0D">
        <w:rPr>
          <w:rFonts w:ascii="Garamond" w:hAnsi="Garamond" w:cs="Courier New"/>
          <w:bCs/>
          <w:color w:val="000000"/>
          <w:sz w:val="24"/>
          <w:szCs w:val="24"/>
        </w:rPr>
        <w:t xml:space="preserve">allegato </w:t>
      </w:r>
      <w:r w:rsidR="00875687" w:rsidRPr="00A52B0D">
        <w:rPr>
          <w:rFonts w:ascii="Garamond" w:hAnsi="Garamond" w:cs="Courier New"/>
          <w:bCs/>
          <w:color w:val="000000"/>
          <w:sz w:val="24"/>
          <w:szCs w:val="24"/>
        </w:rPr>
        <w:t>p. 1),</w:t>
      </w:r>
      <w:r w:rsidR="00875687" w:rsidRPr="00A52B0D">
        <w:rPr>
          <w:rFonts w:ascii="Garamond" w:hAnsi="Garamond" w:cs="Courier New"/>
          <w:b/>
          <w:color w:val="000000"/>
          <w:sz w:val="24"/>
          <w:szCs w:val="24"/>
        </w:rPr>
        <w:t xml:space="preserve"> </w:t>
      </w:r>
      <w:r w:rsidR="00875687" w:rsidRPr="00A52B0D">
        <w:rPr>
          <w:rFonts w:ascii="Garamond" w:hAnsi="Garamond"/>
          <w:sz w:val="24"/>
          <w:szCs w:val="24"/>
        </w:rPr>
        <w:t>permettendo</w:t>
      </w:r>
      <w:r w:rsidRPr="00A52B0D">
        <w:rPr>
          <w:rFonts w:ascii="Garamond" w:hAnsi="Garamond"/>
          <w:sz w:val="24"/>
          <w:szCs w:val="24"/>
        </w:rPr>
        <w:t xml:space="preserve"> di onorare gli impegni di spesa.</w:t>
      </w:r>
      <w:r w:rsidR="005946E3" w:rsidRPr="00A52B0D">
        <w:rPr>
          <w:rFonts w:ascii="Garamond" w:hAnsi="Garamond"/>
          <w:sz w:val="24"/>
          <w:szCs w:val="24"/>
        </w:rPr>
        <w:t xml:space="preserve"> </w:t>
      </w:r>
    </w:p>
    <w:p w14:paraId="66D296E9" w14:textId="609DFC22" w:rsidR="005946E3" w:rsidRPr="00A52B0D" w:rsidRDefault="005946E3" w:rsidP="00E53580">
      <w:pPr>
        <w:spacing w:after="0" w:line="240" w:lineRule="auto"/>
        <w:ind w:firstLine="283"/>
        <w:jc w:val="both"/>
        <w:rPr>
          <w:rFonts w:ascii="Garamond" w:hAnsi="Garamond"/>
          <w:sz w:val="24"/>
          <w:szCs w:val="24"/>
          <w:u w:val="single"/>
        </w:rPr>
      </w:pPr>
      <w:r w:rsidRPr="00A52B0D">
        <w:rPr>
          <w:rFonts w:ascii="Garamond" w:hAnsi="Garamond"/>
          <w:sz w:val="24"/>
          <w:szCs w:val="24"/>
          <w:u w:val="single"/>
        </w:rPr>
        <w:t>Gli avanzi di cassa come da statuto</w:t>
      </w:r>
      <w:r w:rsidR="0031267A" w:rsidRPr="00A52B0D">
        <w:rPr>
          <w:rFonts w:ascii="Garamond" w:hAnsi="Garamond"/>
          <w:sz w:val="24"/>
          <w:szCs w:val="24"/>
          <w:u w:val="single"/>
        </w:rPr>
        <w:t xml:space="preserve"> (art</w:t>
      </w:r>
      <w:r w:rsidR="005B0DFD">
        <w:rPr>
          <w:rFonts w:ascii="Garamond" w:hAnsi="Garamond"/>
          <w:sz w:val="24"/>
          <w:szCs w:val="24"/>
          <w:u w:val="single"/>
        </w:rPr>
        <w:t>.</w:t>
      </w:r>
      <w:r w:rsidR="0031267A" w:rsidRPr="00A52B0D">
        <w:rPr>
          <w:rFonts w:ascii="Garamond" w:hAnsi="Garamond"/>
          <w:sz w:val="24"/>
          <w:szCs w:val="24"/>
          <w:u w:val="single"/>
        </w:rPr>
        <w:t xml:space="preserve"> 12 Patrimonio e finanze)</w:t>
      </w:r>
      <w:r w:rsidRPr="00A52B0D">
        <w:rPr>
          <w:rFonts w:ascii="Garamond" w:hAnsi="Garamond"/>
          <w:sz w:val="24"/>
          <w:szCs w:val="24"/>
          <w:u w:val="single"/>
        </w:rPr>
        <w:t xml:space="preserve"> verranno reinvestiti nell</w:t>
      </w:r>
      <w:r w:rsidR="0031267A" w:rsidRPr="00A52B0D">
        <w:rPr>
          <w:rFonts w:ascii="Garamond" w:hAnsi="Garamond"/>
          <w:sz w:val="24"/>
          <w:szCs w:val="24"/>
          <w:u w:val="single"/>
        </w:rPr>
        <w:t>’</w:t>
      </w:r>
      <w:r w:rsidRPr="00A52B0D">
        <w:rPr>
          <w:rFonts w:ascii="Garamond" w:hAnsi="Garamond"/>
          <w:sz w:val="24"/>
          <w:szCs w:val="24"/>
          <w:u w:val="single"/>
        </w:rPr>
        <w:t>oggetto sociale</w:t>
      </w:r>
      <w:r w:rsidR="0031267A" w:rsidRPr="00A52B0D">
        <w:rPr>
          <w:rFonts w:ascii="Garamond" w:hAnsi="Garamond"/>
          <w:sz w:val="24"/>
          <w:szCs w:val="24"/>
          <w:u w:val="single"/>
        </w:rPr>
        <w:t>.</w:t>
      </w:r>
    </w:p>
    <w:p w14:paraId="37F45631" w14:textId="77777777" w:rsidR="00E53580" w:rsidRPr="00A52B0D" w:rsidRDefault="00E53580" w:rsidP="00E53580">
      <w:pPr>
        <w:spacing w:after="0" w:line="240" w:lineRule="auto"/>
        <w:ind w:firstLine="283"/>
        <w:jc w:val="both"/>
        <w:rPr>
          <w:rFonts w:ascii="Garamond" w:hAnsi="Garamond"/>
          <w:sz w:val="24"/>
          <w:szCs w:val="24"/>
        </w:rPr>
      </w:pPr>
      <w:r w:rsidRPr="00A52B0D">
        <w:rPr>
          <w:rFonts w:ascii="Garamond" w:hAnsi="Garamond"/>
          <w:sz w:val="24"/>
          <w:szCs w:val="24"/>
        </w:rPr>
        <w:t>Si può dunque affermare che il bilancio consuntivo che viene sottoposto alla vostra approvazione</w:t>
      </w:r>
      <w:r w:rsidR="007D2F7D" w:rsidRPr="00A52B0D">
        <w:rPr>
          <w:rFonts w:ascii="Garamond" w:hAnsi="Garamond"/>
          <w:sz w:val="24"/>
          <w:szCs w:val="24"/>
        </w:rPr>
        <w:t>, gentili Soci</w:t>
      </w:r>
      <w:r w:rsidRPr="00A52B0D">
        <w:rPr>
          <w:rFonts w:ascii="Garamond" w:hAnsi="Garamond"/>
          <w:sz w:val="24"/>
          <w:szCs w:val="24"/>
        </w:rPr>
        <w:t xml:space="preserve"> risulta adeguato alle concrete capacità operative del Centro Studi. </w:t>
      </w:r>
    </w:p>
    <w:p w14:paraId="339B5EB5" w14:textId="5F4285DF" w:rsidR="00DC773B" w:rsidRDefault="00DC773B" w:rsidP="00110200">
      <w:pPr>
        <w:spacing w:after="0" w:line="240" w:lineRule="auto"/>
        <w:ind w:firstLine="283"/>
        <w:jc w:val="both"/>
        <w:rPr>
          <w:rFonts w:ascii="Garamond" w:hAnsi="Garamond"/>
          <w:sz w:val="24"/>
          <w:szCs w:val="24"/>
        </w:rPr>
      </w:pPr>
    </w:p>
    <w:p w14:paraId="09FA7158" w14:textId="77777777" w:rsidR="005155CE" w:rsidRPr="00A52B0D" w:rsidRDefault="005155CE" w:rsidP="00110200">
      <w:pPr>
        <w:spacing w:after="0" w:line="240" w:lineRule="auto"/>
        <w:ind w:firstLine="283"/>
        <w:jc w:val="both"/>
        <w:rPr>
          <w:rFonts w:ascii="Garamond" w:hAnsi="Garamond"/>
          <w:sz w:val="24"/>
          <w:szCs w:val="24"/>
        </w:rPr>
      </w:pPr>
    </w:p>
    <w:p w14:paraId="7E653C7F" w14:textId="77777777" w:rsidR="00875687" w:rsidRPr="00A52B0D" w:rsidRDefault="00875687" w:rsidP="00875687">
      <w:pPr>
        <w:spacing w:after="0" w:line="240" w:lineRule="auto"/>
        <w:ind w:firstLine="283"/>
        <w:jc w:val="both"/>
        <w:rPr>
          <w:rFonts w:ascii="Garamond" w:hAnsi="Garamond"/>
          <w:sz w:val="24"/>
          <w:szCs w:val="24"/>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9778"/>
      </w:tblGrid>
      <w:tr w:rsidR="00875687" w:rsidRPr="00A52B0D" w14:paraId="77474D3E" w14:textId="77777777" w:rsidTr="004123E4">
        <w:trPr>
          <w:trHeight w:val="120"/>
        </w:trPr>
        <w:tc>
          <w:tcPr>
            <w:tcW w:w="9778" w:type="dxa"/>
            <w:shd w:val="clear" w:color="auto" w:fill="D3DFEE"/>
          </w:tcPr>
          <w:p w14:paraId="0CCEDED5" w14:textId="73D36F91" w:rsidR="00875687" w:rsidRPr="00A52B0D" w:rsidRDefault="00875687" w:rsidP="004123E4">
            <w:pPr>
              <w:spacing w:after="0" w:line="240" w:lineRule="auto"/>
              <w:jc w:val="both"/>
              <w:rPr>
                <w:rFonts w:ascii="Garamond" w:hAnsi="Garamond"/>
                <w:b/>
                <w:bCs/>
                <w:sz w:val="24"/>
                <w:szCs w:val="24"/>
              </w:rPr>
            </w:pPr>
            <w:r w:rsidRPr="00A52B0D">
              <w:rPr>
                <w:rFonts w:ascii="Garamond" w:hAnsi="Garamond"/>
                <w:b/>
                <w:bCs/>
                <w:sz w:val="24"/>
                <w:szCs w:val="24"/>
              </w:rPr>
              <w:lastRenderedPageBreak/>
              <w:t>Ipotesi di rendicontazione del 5x1000</w:t>
            </w:r>
            <w:r w:rsidR="00A52B0D" w:rsidRPr="00A52B0D">
              <w:rPr>
                <w:rFonts w:ascii="Garamond" w:hAnsi="Garamond"/>
                <w:b/>
                <w:bCs/>
                <w:sz w:val="24"/>
                <w:szCs w:val="24"/>
              </w:rPr>
              <w:t xml:space="preserve"> </w:t>
            </w:r>
          </w:p>
        </w:tc>
      </w:tr>
    </w:tbl>
    <w:p w14:paraId="056B48C0" w14:textId="77777777" w:rsidR="00875687" w:rsidRPr="00A52B0D" w:rsidRDefault="00875687" w:rsidP="00875687">
      <w:pPr>
        <w:spacing w:after="0" w:line="240" w:lineRule="auto"/>
        <w:ind w:firstLine="283"/>
        <w:jc w:val="both"/>
        <w:rPr>
          <w:rFonts w:ascii="Garamond" w:hAnsi="Garamond"/>
          <w:sz w:val="24"/>
          <w:szCs w:val="24"/>
        </w:rPr>
      </w:pPr>
    </w:p>
    <w:p w14:paraId="1616A92F" w14:textId="605615A4" w:rsidR="00875687" w:rsidRPr="00A52B0D" w:rsidRDefault="00A52B0D" w:rsidP="00110200">
      <w:pPr>
        <w:spacing w:after="0" w:line="240" w:lineRule="auto"/>
        <w:ind w:firstLine="283"/>
        <w:jc w:val="both"/>
        <w:rPr>
          <w:rFonts w:ascii="Garamond" w:hAnsi="Garamond"/>
          <w:sz w:val="24"/>
          <w:szCs w:val="24"/>
        </w:rPr>
      </w:pPr>
      <w:r w:rsidRPr="00A52B0D">
        <w:rPr>
          <w:rFonts w:ascii="Garamond" w:hAnsi="Garamond"/>
          <w:sz w:val="24"/>
          <w:szCs w:val="24"/>
        </w:rPr>
        <w:t>Si propone all</w:t>
      </w:r>
      <w:r w:rsidR="00520F4F">
        <w:rPr>
          <w:rFonts w:ascii="Garamond" w:hAnsi="Garamond"/>
          <w:sz w:val="24"/>
          <w:szCs w:val="24"/>
        </w:rPr>
        <w:t>’</w:t>
      </w:r>
      <w:r w:rsidRPr="00A52B0D">
        <w:rPr>
          <w:rFonts w:ascii="Garamond" w:hAnsi="Garamond"/>
          <w:sz w:val="24"/>
          <w:szCs w:val="24"/>
        </w:rPr>
        <w:t>assemblea, inoltre, la rendicontazione del 5x1000 percepito nell</w:t>
      </w:r>
      <w:r w:rsidR="00520F4F">
        <w:rPr>
          <w:rFonts w:ascii="Garamond" w:hAnsi="Garamond"/>
          <w:sz w:val="24"/>
          <w:szCs w:val="24"/>
        </w:rPr>
        <w:t>’</w:t>
      </w:r>
      <w:r w:rsidRPr="00A52B0D">
        <w:rPr>
          <w:rFonts w:ascii="Garamond" w:hAnsi="Garamond"/>
          <w:sz w:val="24"/>
          <w:szCs w:val="24"/>
        </w:rPr>
        <w:t>anno 2020 come da prospetto a p. 4 dell</w:t>
      </w:r>
      <w:r w:rsidR="00520F4F">
        <w:rPr>
          <w:rFonts w:ascii="Garamond" w:hAnsi="Garamond"/>
          <w:sz w:val="24"/>
          <w:szCs w:val="24"/>
        </w:rPr>
        <w:t>’</w:t>
      </w:r>
      <w:r w:rsidRPr="00A52B0D">
        <w:rPr>
          <w:rFonts w:ascii="Garamond" w:hAnsi="Garamond"/>
          <w:sz w:val="24"/>
          <w:szCs w:val="24"/>
        </w:rPr>
        <w:t>Allegato.</w:t>
      </w:r>
    </w:p>
    <w:p w14:paraId="6A8D157A" w14:textId="77777777" w:rsidR="00110200" w:rsidRPr="00A52B0D" w:rsidRDefault="00110200" w:rsidP="00110200">
      <w:pPr>
        <w:spacing w:after="0" w:line="240" w:lineRule="auto"/>
        <w:jc w:val="both"/>
        <w:rPr>
          <w:rFonts w:ascii="Garamond" w:hAnsi="Garamond"/>
          <w:sz w:val="24"/>
          <w:szCs w:val="24"/>
        </w:rPr>
      </w:pPr>
    </w:p>
    <w:p w14:paraId="439DB160" w14:textId="77777777" w:rsidR="00A52B0D" w:rsidRPr="00A52B0D" w:rsidRDefault="00941D3D" w:rsidP="00A52B0D">
      <w:pPr>
        <w:spacing w:after="0" w:line="240" w:lineRule="auto"/>
        <w:ind w:firstLine="283"/>
        <w:jc w:val="both"/>
        <w:rPr>
          <w:rFonts w:ascii="Garamond" w:hAnsi="Garamond"/>
          <w:sz w:val="24"/>
          <w:szCs w:val="24"/>
        </w:rPr>
      </w:pPr>
      <w:r w:rsidRPr="00A52B0D">
        <w:rPr>
          <w:rFonts w:ascii="Garamond" w:hAnsi="Garamond"/>
          <w:sz w:val="24"/>
          <w:szCs w:val="24"/>
        </w:rPr>
        <w:t xml:space="preserve">            </w:t>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0A0" w:firstRow="1" w:lastRow="0" w:firstColumn="1" w:lastColumn="0" w:noHBand="0" w:noVBand="0"/>
      </w:tblPr>
      <w:tblGrid>
        <w:gridCol w:w="9778"/>
      </w:tblGrid>
      <w:tr w:rsidR="00A52B0D" w:rsidRPr="00A52B0D" w14:paraId="121B7004" w14:textId="77777777" w:rsidTr="004123E4">
        <w:trPr>
          <w:trHeight w:val="120"/>
        </w:trPr>
        <w:tc>
          <w:tcPr>
            <w:tcW w:w="9778" w:type="dxa"/>
            <w:shd w:val="clear" w:color="auto" w:fill="D3DFEE"/>
          </w:tcPr>
          <w:p w14:paraId="13AA94CE" w14:textId="2AB729C1" w:rsidR="00A52B0D" w:rsidRPr="00A52B0D" w:rsidRDefault="00A52B0D" w:rsidP="004123E4">
            <w:pPr>
              <w:spacing w:after="0" w:line="240" w:lineRule="auto"/>
              <w:jc w:val="both"/>
              <w:rPr>
                <w:rFonts w:ascii="Garamond" w:hAnsi="Garamond"/>
                <w:b/>
                <w:bCs/>
                <w:sz w:val="24"/>
                <w:szCs w:val="24"/>
              </w:rPr>
            </w:pPr>
            <w:r w:rsidRPr="00A52B0D">
              <w:rPr>
                <w:rFonts w:ascii="Garamond" w:hAnsi="Garamond"/>
                <w:b/>
                <w:bCs/>
                <w:sz w:val="24"/>
                <w:szCs w:val="24"/>
              </w:rPr>
              <w:t>Prospetto Scuola di Paleografia e Storia (</w:t>
            </w:r>
            <w:proofErr w:type="spellStart"/>
            <w:r w:rsidRPr="00A52B0D">
              <w:rPr>
                <w:rFonts w:ascii="Garamond" w:hAnsi="Garamond"/>
                <w:b/>
                <w:bCs/>
                <w:sz w:val="24"/>
                <w:szCs w:val="24"/>
              </w:rPr>
              <w:t>SPeS</w:t>
            </w:r>
            <w:proofErr w:type="spellEnd"/>
            <w:r w:rsidRPr="00A52B0D">
              <w:rPr>
                <w:rFonts w:ascii="Garamond" w:hAnsi="Garamond"/>
                <w:b/>
                <w:bCs/>
                <w:sz w:val="24"/>
                <w:szCs w:val="24"/>
              </w:rPr>
              <w:t xml:space="preserve">) </w:t>
            </w:r>
          </w:p>
        </w:tc>
      </w:tr>
    </w:tbl>
    <w:p w14:paraId="02811C78" w14:textId="77777777" w:rsidR="00A52B0D" w:rsidRPr="00A52B0D" w:rsidRDefault="00941D3D" w:rsidP="00A52B0D">
      <w:pPr>
        <w:spacing w:after="0" w:line="240" w:lineRule="auto"/>
        <w:jc w:val="both"/>
        <w:rPr>
          <w:rFonts w:ascii="Garamond" w:hAnsi="Garamond"/>
          <w:sz w:val="24"/>
          <w:szCs w:val="24"/>
        </w:rPr>
      </w:pPr>
      <w:r w:rsidRPr="00A52B0D">
        <w:rPr>
          <w:rFonts w:ascii="Garamond" w:hAnsi="Garamond"/>
          <w:sz w:val="24"/>
          <w:szCs w:val="24"/>
        </w:rPr>
        <w:t xml:space="preserve">      </w:t>
      </w:r>
    </w:p>
    <w:p w14:paraId="4F6B98DE" w14:textId="66ED2480" w:rsidR="00A52B0D" w:rsidRPr="00A52B0D" w:rsidRDefault="00A52B0D" w:rsidP="00A52B0D">
      <w:pPr>
        <w:spacing w:after="0" w:line="240" w:lineRule="auto"/>
        <w:jc w:val="both"/>
        <w:rPr>
          <w:rFonts w:ascii="Garamond" w:hAnsi="Garamond"/>
          <w:sz w:val="24"/>
          <w:szCs w:val="24"/>
        </w:rPr>
      </w:pPr>
      <w:r w:rsidRPr="00A52B0D">
        <w:rPr>
          <w:rFonts w:ascii="Garamond" w:hAnsi="Garamond"/>
          <w:sz w:val="24"/>
          <w:szCs w:val="24"/>
        </w:rPr>
        <w:t>Si sottopone all</w:t>
      </w:r>
      <w:r w:rsidR="00520F4F">
        <w:rPr>
          <w:rFonts w:ascii="Garamond" w:hAnsi="Garamond"/>
          <w:sz w:val="24"/>
          <w:szCs w:val="24"/>
        </w:rPr>
        <w:t>’</w:t>
      </w:r>
      <w:r w:rsidRPr="00A52B0D">
        <w:rPr>
          <w:rFonts w:ascii="Garamond" w:hAnsi="Garamond"/>
          <w:sz w:val="24"/>
          <w:szCs w:val="24"/>
        </w:rPr>
        <w:t>attenzione dei soci per l</w:t>
      </w:r>
      <w:r w:rsidR="00520F4F">
        <w:rPr>
          <w:rFonts w:ascii="Garamond" w:hAnsi="Garamond"/>
          <w:sz w:val="24"/>
          <w:szCs w:val="24"/>
        </w:rPr>
        <w:t>’</w:t>
      </w:r>
      <w:r w:rsidRPr="00A52B0D">
        <w:rPr>
          <w:rFonts w:ascii="Garamond" w:hAnsi="Garamond"/>
          <w:sz w:val="24"/>
          <w:szCs w:val="24"/>
        </w:rPr>
        <w:t>approvazione il prospetto dei corsi attivati nell</w:t>
      </w:r>
      <w:r w:rsidR="00520F4F">
        <w:rPr>
          <w:rFonts w:ascii="Garamond" w:hAnsi="Garamond"/>
          <w:sz w:val="24"/>
          <w:szCs w:val="24"/>
        </w:rPr>
        <w:t>’</w:t>
      </w:r>
      <w:r w:rsidRPr="00A52B0D">
        <w:rPr>
          <w:rFonts w:ascii="Garamond" w:hAnsi="Garamond"/>
          <w:sz w:val="24"/>
          <w:szCs w:val="24"/>
        </w:rPr>
        <w:t>anno accademico 2020-2021.</w:t>
      </w:r>
    </w:p>
    <w:p w14:paraId="53D2F619" w14:textId="7912559E" w:rsidR="00A52B0D" w:rsidRPr="00A52B0D" w:rsidRDefault="00941D3D" w:rsidP="00A52B0D">
      <w:pPr>
        <w:spacing w:after="0" w:line="240" w:lineRule="auto"/>
        <w:jc w:val="both"/>
        <w:rPr>
          <w:rFonts w:ascii="Garamond" w:hAnsi="Garamond"/>
          <w:sz w:val="24"/>
          <w:szCs w:val="24"/>
        </w:rPr>
      </w:pPr>
      <w:r w:rsidRPr="00A52B0D">
        <w:rPr>
          <w:rFonts w:ascii="Garamond" w:hAnsi="Garamond"/>
          <w:sz w:val="24"/>
          <w:szCs w:val="24"/>
        </w:rPr>
        <w:t xml:space="preserve">  </w:t>
      </w:r>
    </w:p>
    <w:p w14:paraId="0DBB6E0C" w14:textId="766973E6" w:rsidR="00A52B0D" w:rsidRPr="00A52B0D" w:rsidRDefault="00A52B0D" w:rsidP="00A52B0D">
      <w:pPr>
        <w:spacing w:after="0" w:line="240" w:lineRule="auto"/>
        <w:jc w:val="both"/>
        <w:rPr>
          <w:rFonts w:ascii="Garamond" w:hAnsi="Garamond"/>
          <w:sz w:val="24"/>
          <w:szCs w:val="24"/>
        </w:rPr>
      </w:pPr>
      <w:r w:rsidRPr="00A52B0D">
        <w:rPr>
          <w:rFonts w:ascii="Garamond" w:hAnsi="Garamond"/>
          <w:sz w:val="24"/>
          <w:szCs w:val="24"/>
        </w:rPr>
        <w:t>Per il Consiglio Direttivo</w:t>
      </w:r>
    </w:p>
    <w:p w14:paraId="6A798DD0" w14:textId="77777777" w:rsidR="00A52B0D" w:rsidRPr="00A52B0D" w:rsidRDefault="00A52B0D" w:rsidP="00A52B0D">
      <w:pPr>
        <w:spacing w:after="0" w:line="240" w:lineRule="auto"/>
        <w:jc w:val="both"/>
        <w:rPr>
          <w:rFonts w:ascii="Garamond" w:hAnsi="Garamond"/>
          <w:sz w:val="24"/>
          <w:szCs w:val="24"/>
        </w:rPr>
      </w:pPr>
      <w:r w:rsidRPr="00A52B0D">
        <w:rPr>
          <w:rFonts w:ascii="Garamond" w:hAnsi="Garamond"/>
          <w:sz w:val="24"/>
          <w:szCs w:val="24"/>
        </w:rPr>
        <w:t>Il Presidente</w:t>
      </w:r>
    </w:p>
    <w:p w14:paraId="18A74E33" w14:textId="54425208" w:rsidR="00941D3D" w:rsidRPr="00A52B0D" w:rsidRDefault="00941D3D" w:rsidP="00941D3D">
      <w:pPr>
        <w:pStyle w:val="Titolo1"/>
        <w:jc w:val="both"/>
        <w:rPr>
          <w:rFonts w:ascii="Garamond" w:hAnsi="Garamond"/>
          <w:szCs w:val="24"/>
        </w:rPr>
      </w:pPr>
      <w:r w:rsidRPr="00A52B0D">
        <w:rPr>
          <w:rFonts w:ascii="Garamond" w:hAnsi="Garamond"/>
          <w:szCs w:val="24"/>
        </w:rPr>
        <w:t xml:space="preserve">                                                             </w:t>
      </w:r>
    </w:p>
    <w:p w14:paraId="656FAEFA" w14:textId="77777777" w:rsidR="00941D3D" w:rsidRPr="00A52B0D" w:rsidRDefault="00941D3D" w:rsidP="00941D3D">
      <w:pPr>
        <w:spacing w:after="0"/>
        <w:rPr>
          <w:rFonts w:ascii="Garamond" w:hAnsi="Garamond"/>
          <w:sz w:val="24"/>
          <w:szCs w:val="24"/>
        </w:rPr>
      </w:pPr>
    </w:p>
    <w:p w14:paraId="08988C5C" w14:textId="77777777" w:rsidR="00941D3D" w:rsidRPr="00A52B0D" w:rsidRDefault="00941D3D" w:rsidP="00941D3D">
      <w:pPr>
        <w:jc w:val="both"/>
        <w:rPr>
          <w:rFonts w:ascii="Garamond" w:hAnsi="Garamond" w:cs="Arial"/>
          <w:sz w:val="24"/>
          <w:szCs w:val="24"/>
        </w:rPr>
      </w:pPr>
      <w:r w:rsidRPr="00A52B0D">
        <w:rPr>
          <w:rFonts w:ascii="Garamond" w:hAnsi="Garamond" w:cs="Arial"/>
          <w:sz w:val="24"/>
          <w:szCs w:val="24"/>
        </w:rPr>
        <w:t xml:space="preserve">                                                                         </w:t>
      </w:r>
    </w:p>
    <w:p w14:paraId="5F4D493C" w14:textId="77777777" w:rsidR="00941D3D" w:rsidRPr="00A52B0D" w:rsidRDefault="00941D3D" w:rsidP="007C6D42">
      <w:pPr>
        <w:jc w:val="both"/>
        <w:rPr>
          <w:rFonts w:ascii="Garamond" w:hAnsi="Garamond" w:cs="Arial"/>
          <w:sz w:val="24"/>
          <w:szCs w:val="24"/>
        </w:rPr>
      </w:pPr>
    </w:p>
    <w:sectPr w:rsidR="00941D3D" w:rsidRPr="00A52B0D" w:rsidSect="003739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80"/>
    <w:rsid w:val="00037899"/>
    <w:rsid w:val="00044B80"/>
    <w:rsid w:val="000519C0"/>
    <w:rsid w:val="000E5BDB"/>
    <w:rsid w:val="00110200"/>
    <w:rsid w:val="0013321E"/>
    <w:rsid w:val="001D28F2"/>
    <w:rsid w:val="00251F06"/>
    <w:rsid w:val="002E61BE"/>
    <w:rsid w:val="0031267A"/>
    <w:rsid w:val="00313D58"/>
    <w:rsid w:val="0032043B"/>
    <w:rsid w:val="0032239D"/>
    <w:rsid w:val="00366DDE"/>
    <w:rsid w:val="003739B9"/>
    <w:rsid w:val="00387EE8"/>
    <w:rsid w:val="003A556D"/>
    <w:rsid w:val="00405C70"/>
    <w:rsid w:val="0041678D"/>
    <w:rsid w:val="0047478A"/>
    <w:rsid w:val="005155CE"/>
    <w:rsid w:val="00520F4F"/>
    <w:rsid w:val="0055461F"/>
    <w:rsid w:val="00586F90"/>
    <w:rsid w:val="005946E3"/>
    <w:rsid w:val="005B0DFD"/>
    <w:rsid w:val="006135AF"/>
    <w:rsid w:val="00621B19"/>
    <w:rsid w:val="0070059E"/>
    <w:rsid w:val="00710780"/>
    <w:rsid w:val="00770568"/>
    <w:rsid w:val="0079296B"/>
    <w:rsid w:val="007C6D42"/>
    <w:rsid w:val="007D05D3"/>
    <w:rsid w:val="007D2F7D"/>
    <w:rsid w:val="0086551E"/>
    <w:rsid w:val="00875687"/>
    <w:rsid w:val="008A3D54"/>
    <w:rsid w:val="0092171F"/>
    <w:rsid w:val="00924B72"/>
    <w:rsid w:val="00941D3D"/>
    <w:rsid w:val="009B146D"/>
    <w:rsid w:val="00A17BE8"/>
    <w:rsid w:val="00A52B0D"/>
    <w:rsid w:val="00A84BC1"/>
    <w:rsid w:val="00AE1193"/>
    <w:rsid w:val="00AE38F2"/>
    <w:rsid w:val="00B217FB"/>
    <w:rsid w:val="00B259B4"/>
    <w:rsid w:val="00C17E2C"/>
    <w:rsid w:val="00C2592A"/>
    <w:rsid w:val="00C529F1"/>
    <w:rsid w:val="00C95EAB"/>
    <w:rsid w:val="00CF5885"/>
    <w:rsid w:val="00D05A7B"/>
    <w:rsid w:val="00DC773B"/>
    <w:rsid w:val="00DD6A1B"/>
    <w:rsid w:val="00E53580"/>
    <w:rsid w:val="00F149C9"/>
    <w:rsid w:val="00F32913"/>
    <w:rsid w:val="00F46A84"/>
    <w:rsid w:val="00F926D7"/>
    <w:rsid w:val="00F96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B451"/>
  <w15:docId w15:val="{EE4F2B46-620B-DC47-A410-21261BAF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10780"/>
    <w:pPr>
      <w:keepNext/>
      <w:spacing w:after="0" w:line="240" w:lineRule="auto"/>
      <w:outlineLvl w:val="0"/>
    </w:pPr>
    <w:rPr>
      <w:rFonts w:ascii="Arial" w:eastAsia="Times New Roman" w:hAnsi="Arial"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0780"/>
    <w:rPr>
      <w:rFonts w:ascii="Arial" w:eastAsia="Times New Roman" w:hAnsi="Arial" w:cs="Times New Roman"/>
      <w:sz w:val="24"/>
      <w:szCs w:val="20"/>
      <w:lang w:eastAsia="it-IT"/>
    </w:rPr>
  </w:style>
  <w:style w:type="paragraph" w:customStyle="1" w:styleId="SOTTOTITOLO">
    <w:name w:val="SOTTOTITOLO"/>
    <w:basedOn w:val="Sottotitolo0"/>
    <w:link w:val="SOTTOTITOLOCarattere"/>
    <w:uiPriority w:val="99"/>
    <w:rsid w:val="00110200"/>
    <w:pPr>
      <w:numPr>
        <w:ilvl w:val="0"/>
      </w:numPr>
      <w:spacing w:after="60"/>
      <w:outlineLvl w:val="1"/>
    </w:pPr>
    <w:rPr>
      <w:rFonts w:ascii="Calibri" w:eastAsia="Times New Roman" w:hAnsi="Calibri" w:cs="Times New Roman"/>
      <w:b/>
      <w:i w:val="0"/>
      <w:iCs w:val="0"/>
      <w:caps/>
      <w:color w:val="auto"/>
      <w:spacing w:val="0"/>
      <w:lang w:val="en-US"/>
    </w:rPr>
  </w:style>
  <w:style w:type="character" w:customStyle="1" w:styleId="SOTTOTITOLOCarattere">
    <w:name w:val="SOTTOTITOLO Carattere"/>
    <w:link w:val="SOTTOTITOLO"/>
    <w:uiPriority w:val="99"/>
    <w:locked/>
    <w:rsid w:val="00110200"/>
    <w:rPr>
      <w:rFonts w:ascii="Calibri" w:eastAsia="Times New Roman" w:hAnsi="Calibri" w:cs="Times New Roman"/>
      <w:b/>
      <w:caps/>
      <w:sz w:val="24"/>
      <w:szCs w:val="24"/>
      <w:lang w:val="en-US"/>
    </w:rPr>
  </w:style>
  <w:style w:type="paragraph" w:styleId="Sottotitolo0">
    <w:name w:val="Subtitle"/>
    <w:basedOn w:val="Normale"/>
    <w:next w:val="Normale"/>
    <w:link w:val="SottotitoloCarattere0"/>
    <w:uiPriority w:val="11"/>
    <w:qFormat/>
    <w:rsid w:val="001102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0">
    <w:name w:val="Sottotitolo Carattere"/>
    <w:basedOn w:val="Carpredefinitoparagrafo"/>
    <w:link w:val="Sottotitolo0"/>
    <w:uiPriority w:val="11"/>
    <w:rsid w:val="0011020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5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1148</Words>
  <Characters>6546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Giuliana Falchi</cp:lastModifiedBy>
  <cp:revision>5</cp:revision>
  <cp:lastPrinted>2021-04-26T21:44:00Z</cp:lastPrinted>
  <dcterms:created xsi:type="dcterms:W3CDTF">2021-04-26T21:44:00Z</dcterms:created>
  <dcterms:modified xsi:type="dcterms:W3CDTF">2023-04-09T18:37:00Z</dcterms:modified>
</cp:coreProperties>
</file>